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5DCD9" w14:textId="47B9FCC3" w:rsidR="001C203C" w:rsidRPr="00FE2FC7" w:rsidRDefault="00C655D4" w:rsidP="001C203C">
      <w:pPr>
        <w:spacing w:line="480" w:lineRule="auto"/>
        <w:jc w:val="both"/>
        <w:rPr>
          <w:rFonts w:ascii="Times New Roman" w:hAnsi="Times New Roman" w:cs="Times New Roman"/>
          <w:b/>
          <w:lang w:val="en-CA"/>
        </w:rPr>
      </w:pPr>
      <w:bookmarkStart w:id="0" w:name="_GoBack"/>
      <w:bookmarkEnd w:id="0"/>
      <w:r>
        <w:rPr>
          <w:rFonts w:ascii="Times New Roman" w:hAnsi="Times New Roman" w:cs="Times New Roman"/>
          <w:b/>
          <w:lang w:val="en-CA"/>
        </w:rPr>
        <w:t>Targeting within Universalism</w:t>
      </w:r>
    </w:p>
    <w:p w14:paraId="66A3BC19" w14:textId="77777777" w:rsidR="00BE769D" w:rsidRDefault="00BE769D" w:rsidP="00F257A3">
      <w:pPr>
        <w:spacing w:line="480" w:lineRule="auto"/>
        <w:jc w:val="both"/>
        <w:rPr>
          <w:rFonts w:ascii="Times New Roman" w:hAnsi="Times New Roman" w:cs="Times New Roman"/>
          <w:lang w:val="en-CA"/>
        </w:rPr>
      </w:pPr>
    </w:p>
    <w:p w14:paraId="77B93F1A" w14:textId="6CBB23FF" w:rsidR="00FE2FC7" w:rsidRDefault="00AF1F43" w:rsidP="00F257A3">
      <w:pPr>
        <w:spacing w:line="480" w:lineRule="auto"/>
        <w:jc w:val="both"/>
        <w:rPr>
          <w:rFonts w:ascii="Times New Roman" w:hAnsi="Times New Roman" w:cs="Times New Roman"/>
          <w:lang w:val="en-CA"/>
        </w:rPr>
      </w:pPr>
      <w:r>
        <w:rPr>
          <w:rFonts w:ascii="Times New Roman" w:hAnsi="Times New Roman" w:cs="Times New Roman"/>
          <w:lang w:val="en-CA"/>
        </w:rPr>
        <w:tab/>
      </w:r>
      <w:r w:rsidR="00683B33" w:rsidRPr="00333FA2">
        <w:rPr>
          <w:rFonts w:ascii="Times New Roman" w:hAnsi="Times New Roman" w:cs="Times New Roman"/>
          <w:lang w:val="en-CA"/>
        </w:rPr>
        <w:t>The idea of targeting within universalism has been evoked frequently, usually as a best of both worlds</w:t>
      </w:r>
      <w:r w:rsidR="009B7F12">
        <w:rPr>
          <w:rFonts w:ascii="Times New Roman" w:hAnsi="Times New Roman" w:cs="Times New Roman"/>
          <w:lang w:val="en-CA"/>
        </w:rPr>
        <w:t>’</w:t>
      </w:r>
      <w:r w:rsidR="00683B33" w:rsidRPr="00333FA2">
        <w:rPr>
          <w:rFonts w:ascii="Times New Roman" w:hAnsi="Times New Roman" w:cs="Times New Roman"/>
          <w:lang w:val="en-CA"/>
        </w:rPr>
        <w:t xml:space="preserve"> strategy. Why not indeed combine the political legitimacy and institutional solidity of an encompassing welfare state with the redistributive efficiency of targeted programs? When Theda Skocpol coined the concept in the early 1990s, she clearly located the approach within a universalist framework. Targeting within universalism, for her, meant making room within “universal policy frameworks for extra benefits and services that disproportionately help less privileged people without stigmatizing them” (1991: 414). Skocpol offered some examples drawn from existing American social policies, but she did not develop an elaborate conception of what targeting within universalism entailed. The notion nevertheless struck a c</w:t>
      </w:r>
      <w:r w:rsidR="00683B33">
        <w:rPr>
          <w:rFonts w:ascii="Times New Roman" w:hAnsi="Times New Roman" w:cs="Times New Roman"/>
          <w:lang w:val="en-CA"/>
        </w:rPr>
        <w:t>h</w:t>
      </w:r>
      <w:r w:rsidR="00683B33" w:rsidRPr="00333FA2">
        <w:rPr>
          <w:rFonts w:ascii="Times New Roman" w:hAnsi="Times New Roman" w:cs="Times New Roman"/>
          <w:lang w:val="en-CA"/>
        </w:rPr>
        <w:t>ord, because it seemed to offer a reasonable way out of the long social policy debate about selectivity and universalism, a modicum of targeting within a broadly universalist arrangement</w:t>
      </w:r>
      <w:r w:rsidR="005807CA">
        <w:rPr>
          <w:rFonts w:ascii="Times New Roman" w:hAnsi="Times New Roman" w:cs="Times New Roman"/>
          <w:lang w:val="en-CA"/>
        </w:rPr>
        <w:t xml:space="preserve"> (Kenworthy, 2011:</w:t>
      </w:r>
      <w:r w:rsidR="00E44A36">
        <w:rPr>
          <w:rFonts w:ascii="Times New Roman" w:hAnsi="Times New Roman" w:cs="Times New Roman"/>
          <w:lang w:val="en-CA"/>
        </w:rPr>
        <w:t xml:space="preserve"> 61</w:t>
      </w:r>
      <w:r w:rsidR="00190BCE">
        <w:rPr>
          <w:rFonts w:ascii="Times New Roman" w:hAnsi="Times New Roman" w:cs="Times New Roman"/>
          <w:lang w:val="en-CA"/>
        </w:rPr>
        <w:t>; Van Lancker</w:t>
      </w:r>
      <w:r w:rsidR="00E66C11">
        <w:rPr>
          <w:rFonts w:ascii="Times New Roman" w:hAnsi="Times New Roman" w:cs="Times New Roman"/>
          <w:lang w:val="en-CA"/>
        </w:rPr>
        <w:t xml:space="preserve"> et al.</w:t>
      </w:r>
      <w:r w:rsidR="00190BCE">
        <w:rPr>
          <w:rFonts w:ascii="Times New Roman" w:hAnsi="Times New Roman" w:cs="Times New Roman"/>
          <w:lang w:val="en-CA"/>
        </w:rPr>
        <w:t>, 2015</w:t>
      </w:r>
      <w:r w:rsidR="00167EEE">
        <w:rPr>
          <w:rFonts w:ascii="Times New Roman" w:hAnsi="Times New Roman" w:cs="Times New Roman"/>
          <w:lang w:val="en-CA"/>
        </w:rPr>
        <w:t>; Mart</w:t>
      </w:r>
      <w:r w:rsidR="006B20A6">
        <w:rPr>
          <w:rFonts w:ascii="Times New Roman" w:hAnsi="Times New Roman" w:cs="Times New Roman"/>
          <w:lang w:val="en-CA"/>
        </w:rPr>
        <w:t>í</w:t>
      </w:r>
      <w:r w:rsidR="001E177A">
        <w:rPr>
          <w:rFonts w:ascii="Times New Roman" w:hAnsi="Times New Roman" w:cs="Times New Roman"/>
          <w:lang w:val="en-CA"/>
        </w:rPr>
        <w:t xml:space="preserve">nez </w:t>
      </w:r>
      <w:r w:rsidR="006B20A6">
        <w:rPr>
          <w:rFonts w:ascii="Times New Roman" w:hAnsi="Times New Roman" w:cs="Times New Roman"/>
          <w:lang w:val="en-CA"/>
        </w:rPr>
        <w:t>Franzoni and S</w:t>
      </w:r>
      <w:r w:rsidR="0083038A">
        <w:rPr>
          <w:rFonts w:ascii="Times New Roman" w:hAnsi="Times New Roman" w:cs="Times New Roman"/>
          <w:lang w:val="en-CA"/>
        </w:rPr>
        <w:t>á</w:t>
      </w:r>
      <w:r w:rsidR="0078617A">
        <w:rPr>
          <w:rFonts w:ascii="Times New Roman" w:hAnsi="Times New Roman" w:cs="Times New Roman"/>
          <w:lang w:val="en-CA"/>
        </w:rPr>
        <w:t>nchez-Ancochea, 2016: 45</w:t>
      </w:r>
      <w:r w:rsidR="00E44A36">
        <w:rPr>
          <w:rFonts w:ascii="Times New Roman" w:hAnsi="Times New Roman" w:cs="Times New Roman"/>
          <w:lang w:val="en-CA"/>
        </w:rPr>
        <w:t>).</w:t>
      </w:r>
    </w:p>
    <w:p w14:paraId="4FE24EC5" w14:textId="3E483D75" w:rsidR="002C19BA" w:rsidRDefault="004035F6" w:rsidP="00F257A3">
      <w:pPr>
        <w:spacing w:line="480" w:lineRule="auto"/>
        <w:jc w:val="both"/>
        <w:rPr>
          <w:rFonts w:ascii="Times New Roman" w:hAnsi="Times New Roman" w:cs="Times New Roman"/>
          <w:lang w:val="en-CA"/>
        </w:rPr>
      </w:pPr>
      <w:r>
        <w:rPr>
          <w:rFonts w:ascii="Times New Roman" w:hAnsi="Times New Roman" w:cs="Times New Roman"/>
          <w:lang w:val="en-CA"/>
        </w:rPr>
        <w:tab/>
        <w:t>T</w:t>
      </w:r>
      <w:r w:rsidR="00205A9B">
        <w:rPr>
          <w:rFonts w:ascii="Times New Roman" w:hAnsi="Times New Roman" w:cs="Times New Roman"/>
          <w:lang w:val="en-CA"/>
        </w:rPr>
        <w:t>o specify and operationalize the concept, t</w:t>
      </w:r>
      <w:r w:rsidR="00D85010">
        <w:rPr>
          <w:rFonts w:ascii="Times New Roman" w:hAnsi="Times New Roman" w:cs="Times New Roman"/>
          <w:lang w:val="en-CA"/>
        </w:rPr>
        <w:t xml:space="preserve">wo </w:t>
      </w:r>
      <w:r w:rsidR="000A54D8">
        <w:rPr>
          <w:rFonts w:ascii="Times New Roman" w:hAnsi="Times New Roman" w:cs="Times New Roman"/>
          <w:lang w:val="en-CA"/>
        </w:rPr>
        <w:t>dimensions must be combined</w:t>
      </w:r>
      <w:r w:rsidR="00205A9B">
        <w:rPr>
          <w:rFonts w:ascii="Times New Roman" w:hAnsi="Times New Roman" w:cs="Times New Roman"/>
          <w:lang w:val="en-CA"/>
        </w:rPr>
        <w:t xml:space="preserve">. The </w:t>
      </w:r>
      <w:r w:rsidR="000A54D8">
        <w:rPr>
          <w:rFonts w:ascii="Times New Roman" w:hAnsi="Times New Roman" w:cs="Times New Roman"/>
          <w:lang w:val="en-CA"/>
        </w:rPr>
        <w:t>first is institutional and</w:t>
      </w:r>
      <w:r w:rsidR="000A54D8" w:rsidRPr="000A54D8">
        <w:rPr>
          <w:rFonts w:ascii="Times New Roman" w:hAnsi="Times New Roman" w:cs="Times New Roman"/>
          <w:lang w:val="en-CA"/>
        </w:rPr>
        <w:t xml:space="preserve"> </w:t>
      </w:r>
      <w:r w:rsidR="000A54D8">
        <w:rPr>
          <w:rFonts w:ascii="Times New Roman" w:hAnsi="Times New Roman" w:cs="Times New Roman"/>
          <w:lang w:val="en-CA"/>
        </w:rPr>
        <w:t xml:space="preserve">focuses on policy intentions, or the logic that underpins social transfers. It defines universalism. The second </w:t>
      </w:r>
      <w:r w:rsidR="005D5B98">
        <w:rPr>
          <w:rFonts w:ascii="Times New Roman" w:hAnsi="Times New Roman" w:cs="Times New Roman"/>
          <w:lang w:val="en-CA"/>
        </w:rPr>
        <w:t>con</w:t>
      </w:r>
      <w:r w:rsidR="000A54D8">
        <w:rPr>
          <w:rFonts w:ascii="Times New Roman" w:hAnsi="Times New Roman" w:cs="Times New Roman"/>
          <w:lang w:val="en-CA"/>
        </w:rPr>
        <w:t>cerns</w:t>
      </w:r>
      <w:r w:rsidR="006C16D9">
        <w:rPr>
          <w:rFonts w:ascii="Times New Roman" w:hAnsi="Times New Roman" w:cs="Times New Roman"/>
          <w:lang w:val="en-CA"/>
        </w:rPr>
        <w:t xml:space="preserve"> policy outcomes and </w:t>
      </w:r>
      <w:r w:rsidR="00367AB1">
        <w:rPr>
          <w:rFonts w:ascii="Times New Roman" w:hAnsi="Times New Roman" w:cs="Times New Roman"/>
          <w:lang w:val="en-CA"/>
        </w:rPr>
        <w:t>compares</w:t>
      </w:r>
      <w:r w:rsidR="006C16D9">
        <w:rPr>
          <w:rFonts w:ascii="Times New Roman" w:hAnsi="Times New Roman" w:cs="Times New Roman"/>
          <w:lang w:val="en-CA"/>
        </w:rPr>
        <w:t xml:space="preserve"> the distribution of transfers</w:t>
      </w:r>
      <w:r w:rsidR="00AD49F5">
        <w:rPr>
          <w:rFonts w:ascii="Times New Roman" w:hAnsi="Times New Roman" w:cs="Times New Roman"/>
          <w:lang w:val="en-CA"/>
        </w:rPr>
        <w:t xml:space="preserve"> under different institutional arrangements.</w:t>
      </w:r>
      <w:r w:rsidR="007E2F5A">
        <w:rPr>
          <w:rFonts w:ascii="Times New Roman" w:hAnsi="Times New Roman" w:cs="Times New Roman"/>
          <w:lang w:val="en-CA"/>
        </w:rPr>
        <w:t xml:space="preserve"> </w:t>
      </w:r>
      <w:r w:rsidR="00875A65">
        <w:rPr>
          <w:rFonts w:ascii="Times New Roman" w:hAnsi="Times New Roman" w:cs="Times New Roman"/>
          <w:lang w:val="en-CA"/>
        </w:rPr>
        <w:t>This dimension measures targeting.</w:t>
      </w:r>
      <w:r w:rsidR="002145AE">
        <w:rPr>
          <w:rFonts w:ascii="Times New Roman" w:hAnsi="Times New Roman" w:cs="Times New Roman"/>
          <w:lang w:val="en-CA"/>
        </w:rPr>
        <w:t xml:space="preserve"> Targeting within universalism is </w:t>
      </w:r>
      <w:r w:rsidR="00875A65">
        <w:rPr>
          <w:rFonts w:ascii="Times New Roman" w:hAnsi="Times New Roman" w:cs="Times New Roman"/>
          <w:lang w:val="en-CA"/>
        </w:rPr>
        <w:t>present when</w:t>
      </w:r>
      <w:r w:rsidR="002145AE">
        <w:rPr>
          <w:rFonts w:ascii="Times New Roman" w:hAnsi="Times New Roman" w:cs="Times New Roman"/>
          <w:lang w:val="en-CA"/>
        </w:rPr>
        <w:t xml:space="preserve"> a country combin</w:t>
      </w:r>
      <w:r w:rsidR="00875A65">
        <w:rPr>
          <w:rFonts w:ascii="Times New Roman" w:hAnsi="Times New Roman" w:cs="Times New Roman"/>
          <w:lang w:val="en-CA"/>
        </w:rPr>
        <w:t>es</w:t>
      </w:r>
      <w:r w:rsidR="002145AE">
        <w:rPr>
          <w:rFonts w:ascii="Times New Roman" w:hAnsi="Times New Roman" w:cs="Times New Roman"/>
          <w:lang w:val="en-CA"/>
        </w:rPr>
        <w:t xml:space="preserve"> universal welfare state institutions and cash transfers with pro-poor outcomes, precisely the type of arrangement that Skocpol had in mind.</w:t>
      </w:r>
      <w:r w:rsidR="00C65A41">
        <w:rPr>
          <w:rFonts w:ascii="Times New Roman" w:hAnsi="Times New Roman" w:cs="Times New Roman"/>
          <w:lang w:val="en-CA"/>
        </w:rPr>
        <w:t xml:space="preserve"> </w:t>
      </w:r>
    </w:p>
    <w:p w14:paraId="5D134ED7" w14:textId="28D109BF" w:rsidR="00501151" w:rsidRDefault="00501151" w:rsidP="00F257A3">
      <w:pPr>
        <w:spacing w:line="480" w:lineRule="auto"/>
        <w:jc w:val="both"/>
        <w:rPr>
          <w:rFonts w:ascii="Times New Roman" w:hAnsi="Times New Roman" w:cs="Times New Roman"/>
          <w:lang w:val="en-CA"/>
        </w:rPr>
      </w:pPr>
      <w:r>
        <w:rPr>
          <w:rFonts w:ascii="Times New Roman" w:hAnsi="Times New Roman" w:cs="Times New Roman"/>
          <w:lang w:val="en-CA"/>
        </w:rPr>
        <w:lastRenderedPageBreak/>
        <w:tab/>
      </w:r>
      <w:r w:rsidR="00875A65">
        <w:rPr>
          <w:rFonts w:ascii="Times New Roman" w:hAnsi="Times New Roman" w:cs="Times New Roman"/>
          <w:lang w:val="en-CA"/>
        </w:rPr>
        <w:t>Traditionally</w:t>
      </w:r>
      <w:r>
        <w:rPr>
          <w:rFonts w:ascii="Times New Roman" w:hAnsi="Times New Roman" w:cs="Times New Roman"/>
          <w:lang w:val="en-CA"/>
        </w:rPr>
        <w:t xml:space="preserve">, </w:t>
      </w:r>
      <w:r w:rsidR="005C42C0">
        <w:rPr>
          <w:rFonts w:ascii="Times New Roman" w:hAnsi="Times New Roman" w:cs="Times New Roman"/>
          <w:lang w:val="en-CA"/>
        </w:rPr>
        <w:t xml:space="preserve">the </w:t>
      </w:r>
      <w:r w:rsidR="00875A65">
        <w:rPr>
          <w:rFonts w:ascii="Times New Roman" w:hAnsi="Times New Roman" w:cs="Times New Roman"/>
          <w:lang w:val="en-CA"/>
        </w:rPr>
        <w:t xml:space="preserve">focus was solely </w:t>
      </w:r>
      <w:r w:rsidR="005C42C0">
        <w:rPr>
          <w:rFonts w:ascii="Times New Roman" w:hAnsi="Times New Roman" w:cs="Times New Roman"/>
          <w:lang w:val="en-CA"/>
        </w:rPr>
        <w:t>on outcomes.</w:t>
      </w:r>
      <w:r w:rsidR="00EF08D2">
        <w:rPr>
          <w:rFonts w:ascii="Times New Roman" w:hAnsi="Times New Roman" w:cs="Times New Roman"/>
          <w:lang w:val="en-CA"/>
        </w:rPr>
        <w:t xml:space="preserve"> This</w:t>
      </w:r>
      <w:r w:rsidR="00875A65">
        <w:rPr>
          <w:rFonts w:ascii="Times New Roman" w:hAnsi="Times New Roman" w:cs="Times New Roman"/>
          <w:lang w:val="en-CA"/>
        </w:rPr>
        <w:t xml:space="preserve"> conceptualization and measurement</w:t>
      </w:r>
      <w:r w:rsidR="00EF08D2">
        <w:rPr>
          <w:rFonts w:ascii="Times New Roman" w:hAnsi="Times New Roman" w:cs="Times New Roman"/>
          <w:lang w:val="en-CA"/>
        </w:rPr>
        <w:t xml:space="preserve"> approach </w:t>
      </w:r>
      <w:r w:rsidR="00485519">
        <w:rPr>
          <w:rFonts w:ascii="Times New Roman" w:hAnsi="Times New Roman" w:cs="Times New Roman"/>
          <w:lang w:val="en-CA"/>
        </w:rPr>
        <w:t xml:space="preserve">was pioneered by </w:t>
      </w:r>
      <w:r w:rsidR="00EE1D6D">
        <w:rPr>
          <w:rFonts w:ascii="Times New Roman" w:hAnsi="Times New Roman" w:cs="Times New Roman"/>
          <w:lang w:val="en-CA"/>
        </w:rPr>
        <w:t>Walter Korpi and Joakim Palme. I</w:t>
      </w:r>
      <w:r w:rsidR="00485519">
        <w:rPr>
          <w:rFonts w:ascii="Times New Roman" w:hAnsi="Times New Roman" w:cs="Times New Roman"/>
          <w:lang w:val="en-CA"/>
        </w:rPr>
        <w:t>n their seminal</w:t>
      </w:r>
      <w:r w:rsidR="00E73BAC">
        <w:rPr>
          <w:rFonts w:ascii="Times New Roman" w:hAnsi="Times New Roman" w:cs="Times New Roman"/>
          <w:lang w:val="en-CA"/>
        </w:rPr>
        <w:t xml:space="preserve"> 1998 article on the paradox of redistribution, they </w:t>
      </w:r>
      <w:r w:rsidR="000978C9">
        <w:rPr>
          <w:rFonts w:ascii="Times New Roman" w:hAnsi="Times New Roman" w:cs="Times New Roman"/>
          <w:lang w:val="en-CA"/>
        </w:rPr>
        <w:t>contrasted</w:t>
      </w:r>
      <w:r w:rsidR="00D646A7">
        <w:rPr>
          <w:rFonts w:ascii="Times New Roman" w:hAnsi="Times New Roman" w:cs="Times New Roman"/>
          <w:lang w:val="en-CA"/>
        </w:rPr>
        <w:t xml:space="preserve"> </w:t>
      </w:r>
      <w:r w:rsidR="0088231F">
        <w:rPr>
          <w:rFonts w:ascii="Times New Roman" w:hAnsi="Times New Roman" w:cs="Times New Roman"/>
          <w:lang w:val="en-CA"/>
        </w:rPr>
        <w:t>various types of</w:t>
      </w:r>
      <w:r w:rsidR="000978C9">
        <w:rPr>
          <w:rFonts w:ascii="Times New Roman" w:hAnsi="Times New Roman" w:cs="Times New Roman"/>
          <w:lang w:val="en-CA"/>
        </w:rPr>
        <w:t xml:space="preserve"> welfare states based on an </w:t>
      </w:r>
      <w:r w:rsidR="00C91990">
        <w:rPr>
          <w:rFonts w:ascii="Times New Roman" w:hAnsi="Times New Roman" w:cs="Times New Roman"/>
          <w:lang w:val="en-CA"/>
        </w:rPr>
        <w:t>“index of targeting of transfer income</w:t>
      </w:r>
      <w:r w:rsidR="007C238D">
        <w:rPr>
          <w:rFonts w:ascii="Times New Roman" w:hAnsi="Times New Roman" w:cs="Times New Roman"/>
          <w:lang w:val="en-CA"/>
        </w:rPr>
        <w:t>,</w:t>
      </w:r>
      <w:r w:rsidR="00C91990">
        <w:rPr>
          <w:rFonts w:ascii="Times New Roman" w:hAnsi="Times New Roman" w:cs="Times New Roman"/>
          <w:lang w:val="en-CA"/>
        </w:rPr>
        <w:t>”</w:t>
      </w:r>
      <w:r w:rsidR="007C238D">
        <w:rPr>
          <w:rFonts w:ascii="Times New Roman" w:hAnsi="Times New Roman" w:cs="Times New Roman"/>
          <w:lang w:val="en-CA"/>
        </w:rPr>
        <w:t xml:space="preserve"> </w:t>
      </w:r>
      <w:r w:rsidR="002A091F">
        <w:rPr>
          <w:rFonts w:ascii="Times New Roman" w:hAnsi="Times New Roman" w:cs="Times New Roman"/>
          <w:lang w:val="en-CA"/>
        </w:rPr>
        <w:t>which measured the concentration of transfers on low- or high-income households</w:t>
      </w:r>
      <w:r w:rsidR="00C91990">
        <w:rPr>
          <w:rFonts w:ascii="Times New Roman" w:hAnsi="Times New Roman" w:cs="Times New Roman"/>
          <w:lang w:val="en-CA"/>
        </w:rPr>
        <w:t xml:space="preserve"> (1998: </w:t>
      </w:r>
      <w:r w:rsidR="00940FBF">
        <w:rPr>
          <w:rFonts w:ascii="Times New Roman" w:hAnsi="Times New Roman" w:cs="Times New Roman"/>
          <w:lang w:val="en-CA"/>
        </w:rPr>
        <w:t>684).</w:t>
      </w:r>
      <w:r w:rsidR="00844287">
        <w:rPr>
          <w:rFonts w:ascii="Times New Roman" w:hAnsi="Times New Roman" w:cs="Times New Roman"/>
          <w:lang w:val="en-CA"/>
        </w:rPr>
        <w:t xml:space="preserve"> </w:t>
      </w:r>
      <w:r w:rsidR="000C5AE5">
        <w:rPr>
          <w:rFonts w:ascii="Times New Roman" w:hAnsi="Times New Roman" w:cs="Times New Roman"/>
          <w:lang w:val="en-CA"/>
        </w:rPr>
        <w:t xml:space="preserve">A similar </w:t>
      </w:r>
      <w:r w:rsidR="00CF1130">
        <w:rPr>
          <w:rFonts w:ascii="Times New Roman" w:hAnsi="Times New Roman" w:cs="Times New Roman"/>
          <w:lang w:val="en-CA"/>
        </w:rPr>
        <w:t>measure</w:t>
      </w:r>
      <w:r w:rsidR="00286755">
        <w:rPr>
          <w:rFonts w:ascii="Times New Roman" w:hAnsi="Times New Roman" w:cs="Times New Roman"/>
          <w:lang w:val="en-CA"/>
        </w:rPr>
        <w:t xml:space="preserve"> was used recently by </w:t>
      </w:r>
      <w:r w:rsidR="00F1088D">
        <w:rPr>
          <w:rFonts w:ascii="Times New Roman" w:hAnsi="Times New Roman" w:cs="Times New Roman"/>
          <w:lang w:val="en-CA"/>
        </w:rPr>
        <w:t xml:space="preserve">Lane </w:t>
      </w:r>
      <w:r w:rsidR="00286755">
        <w:rPr>
          <w:rFonts w:ascii="Times New Roman" w:hAnsi="Times New Roman" w:cs="Times New Roman"/>
          <w:lang w:val="en-CA"/>
        </w:rPr>
        <w:t>Kenworthy (</w:t>
      </w:r>
      <w:r w:rsidR="00F1088D">
        <w:rPr>
          <w:rFonts w:ascii="Times New Roman" w:hAnsi="Times New Roman" w:cs="Times New Roman"/>
          <w:lang w:val="en-CA"/>
        </w:rPr>
        <w:t>2011: 61-2),</w:t>
      </w:r>
      <w:r w:rsidR="00574C0C">
        <w:rPr>
          <w:rFonts w:ascii="Times New Roman" w:hAnsi="Times New Roman" w:cs="Times New Roman"/>
          <w:lang w:val="en-CA"/>
        </w:rPr>
        <w:t xml:space="preserve"> and </w:t>
      </w:r>
      <w:r w:rsidR="00F66D5E">
        <w:rPr>
          <w:rFonts w:ascii="Times New Roman" w:hAnsi="Times New Roman" w:cs="Times New Roman"/>
          <w:lang w:val="en-CA"/>
        </w:rPr>
        <w:t>Ive Marx, Lina Salanauskaite</w:t>
      </w:r>
      <w:r w:rsidR="0052609E">
        <w:rPr>
          <w:rFonts w:ascii="Times New Roman" w:hAnsi="Times New Roman" w:cs="Times New Roman"/>
          <w:lang w:val="en-CA"/>
        </w:rPr>
        <w:t>,</w:t>
      </w:r>
      <w:r w:rsidR="00F66D5E">
        <w:rPr>
          <w:rFonts w:ascii="Times New Roman" w:hAnsi="Times New Roman" w:cs="Times New Roman"/>
          <w:lang w:val="en-CA"/>
        </w:rPr>
        <w:t xml:space="preserve"> and Gerlinde Verbist</w:t>
      </w:r>
      <w:r w:rsidR="00E87884">
        <w:rPr>
          <w:rFonts w:ascii="Times New Roman" w:hAnsi="Times New Roman" w:cs="Times New Roman"/>
          <w:lang w:val="en-CA"/>
        </w:rPr>
        <w:t xml:space="preserve"> (2016), to assess different </w:t>
      </w:r>
      <w:r w:rsidR="00363C13">
        <w:rPr>
          <w:rFonts w:ascii="Times New Roman" w:hAnsi="Times New Roman" w:cs="Times New Roman"/>
          <w:lang w:val="en-CA"/>
        </w:rPr>
        <w:t>national</w:t>
      </w:r>
      <w:r w:rsidR="00C82C23">
        <w:rPr>
          <w:rFonts w:ascii="Times New Roman" w:hAnsi="Times New Roman" w:cs="Times New Roman"/>
          <w:lang w:val="en-CA"/>
        </w:rPr>
        <w:t xml:space="preserve"> redistribution</w:t>
      </w:r>
      <w:r w:rsidR="00E87884">
        <w:rPr>
          <w:rFonts w:ascii="Times New Roman" w:hAnsi="Times New Roman" w:cs="Times New Roman"/>
          <w:lang w:val="en-CA"/>
        </w:rPr>
        <w:t xml:space="preserve"> strategies.</w:t>
      </w:r>
      <w:r w:rsidR="00F32E3F">
        <w:rPr>
          <w:rFonts w:ascii="Times New Roman" w:hAnsi="Times New Roman" w:cs="Times New Roman"/>
          <w:lang w:val="en-CA"/>
        </w:rPr>
        <w:t xml:space="preserve"> The idea is to characterize welfare states</w:t>
      </w:r>
      <w:r w:rsidR="000A331B">
        <w:rPr>
          <w:rFonts w:ascii="Times New Roman" w:hAnsi="Times New Roman" w:cs="Times New Roman"/>
          <w:lang w:val="en-CA"/>
        </w:rPr>
        <w:t xml:space="preserve"> </w:t>
      </w:r>
      <w:r w:rsidR="00AC6E0C">
        <w:rPr>
          <w:rFonts w:ascii="Times New Roman" w:hAnsi="Times New Roman" w:cs="Times New Roman"/>
          <w:lang w:val="en-CA"/>
        </w:rPr>
        <w:t>according to</w:t>
      </w:r>
      <w:r w:rsidR="000A331B">
        <w:rPr>
          <w:rFonts w:ascii="Times New Roman" w:hAnsi="Times New Roman" w:cs="Times New Roman"/>
          <w:lang w:val="en-CA"/>
        </w:rPr>
        <w:t xml:space="preserve"> the pro-poor (or pro-rich) </w:t>
      </w:r>
      <w:r w:rsidR="00877C17">
        <w:rPr>
          <w:rFonts w:ascii="Times New Roman" w:hAnsi="Times New Roman" w:cs="Times New Roman"/>
          <w:lang w:val="en-CA"/>
        </w:rPr>
        <w:t>distribution</w:t>
      </w:r>
      <w:r w:rsidR="000A331B">
        <w:rPr>
          <w:rFonts w:ascii="Times New Roman" w:hAnsi="Times New Roman" w:cs="Times New Roman"/>
          <w:lang w:val="en-CA"/>
        </w:rPr>
        <w:t xml:space="preserve"> of their </w:t>
      </w:r>
      <w:r w:rsidR="00CE7260">
        <w:rPr>
          <w:rFonts w:ascii="Times New Roman" w:hAnsi="Times New Roman" w:cs="Times New Roman"/>
          <w:lang w:val="en-CA"/>
        </w:rPr>
        <w:t>transfers.</w:t>
      </w:r>
      <w:r w:rsidR="00C82C23">
        <w:rPr>
          <w:rFonts w:ascii="Times New Roman" w:hAnsi="Times New Roman" w:cs="Times New Roman"/>
          <w:lang w:val="en-CA"/>
        </w:rPr>
        <w:t xml:space="preserve"> </w:t>
      </w:r>
      <w:r w:rsidR="00DF3933">
        <w:rPr>
          <w:rFonts w:ascii="Times New Roman" w:hAnsi="Times New Roman" w:cs="Times New Roman"/>
          <w:lang w:val="en-CA"/>
        </w:rPr>
        <w:t>T</w:t>
      </w:r>
      <w:r w:rsidR="00C82C23">
        <w:rPr>
          <w:rFonts w:ascii="Times New Roman" w:hAnsi="Times New Roman" w:cs="Times New Roman"/>
          <w:lang w:val="en-CA"/>
        </w:rPr>
        <w:t>here are two problems with this approach.</w:t>
      </w:r>
      <w:r w:rsidR="007E5958">
        <w:rPr>
          <w:rFonts w:ascii="Times New Roman" w:hAnsi="Times New Roman" w:cs="Times New Roman"/>
          <w:lang w:val="en-CA"/>
        </w:rPr>
        <w:t xml:space="preserve"> First, </w:t>
      </w:r>
      <w:r w:rsidR="00494DE3">
        <w:rPr>
          <w:rFonts w:ascii="Times New Roman" w:hAnsi="Times New Roman" w:cs="Times New Roman"/>
          <w:lang w:val="en-CA"/>
        </w:rPr>
        <w:t xml:space="preserve">as it has been noted elsewhere, </w:t>
      </w:r>
      <w:r w:rsidR="00B2498D">
        <w:rPr>
          <w:rFonts w:ascii="Times New Roman" w:hAnsi="Times New Roman" w:cs="Times New Roman"/>
          <w:lang w:val="en-CA"/>
        </w:rPr>
        <w:t>the measure of outcomes provides an imperfect assessment of welfare state institutions because</w:t>
      </w:r>
      <w:r w:rsidR="00713AA0">
        <w:rPr>
          <w:rFonts w:ascii="Times New Roman" w:hAnsi="Times New Roman" w:cs="Times New Roman"/>
          <w:lang w:val="en-CA"/>
        </w:rPr>
        <w:t xml:space="preserve"> </w:t>
      </w:r>
      <w:r w:rsidR="00570678">
        <w:rPr>
          <w:rFonts w:ascii="Times New Roman" w:hAnsi="Times New Roman" w:cs="Times New Roman"/>
          <w:lang w:val="en-CA"/>
        </w:rPr>
        <w:t>outcomes are</w:t>
      </w:r>
      <w:r w:rsidR="008B00E0">
        <w:rPr>
          <w:rFonts w:ascii="Times New Roman" w:hAnsi="Times New Roman" w:cs="Times New Roman"/>
          <w:lang w:val="en-CA"/>
        </w:rPr>
        <w:t xml:space="preserve"> shaped by </w:t>
      </w:r>
      <w:r w:rsidR="00E87FAE">
        <w:rPr>
          <w:rFonts w:ascii="Times New Roman" w:hAnsi="Times New Roman" w:cs="Times New Roman"/>
          <w:lang w:val="en-CA"/>
        </w:rPr>
        <w:t>a number of exogenous</w:t>
      </w:r>
      <w:r w:rsidR="007C290D">
        <w:rPr>
          <w:rFonts w:ascii="Times New Roman" w:hAnsi="Times New Roman" w:cs="Times New Roman"/>
          <w:lang w:val="en-CA"/>
        </w:rPr>
        <w:t xml:space="preserve"> economic and social</w:t>
      </w:r>
      <w:r w:rsidR="00E87FAE">
        <w:rPr>
          <w:rFonts w:ascii="Times New Roman" w:hAnsi="Times New Roman" w:cs="Times New Roman"/>
          <w:lang w:val="en-CA"/>
        </w:rPr>
        <w:t xml:space="preserve"> conditions (</w:t>
      </w:r>
      <w:r w:rsidR="007C290D">
        <w:rPr>
          <w:rFonts w:ascii="Times New Roman" w:hAnsi="Times New Roman" w:cs="Times New Roman"/>
          <w:lang w:val="en-CA"/>
        </w:rPr>
        <w:t>Van Lancker and Van Mechelen, 2015</w:t>
      </w:r>
      <w:r w:rsidR="007C4D4D">
        <w:rPr>
          <w:rFonts w:ascii="Times New Roman" w:hAnsi="Times New Roman" w:cs="Times New Roman"/>
          <w:lang w:val="en-CA"/>
        </w:rPr>
        <w:t>; Marchal and Van Lancker, 2018).</w:t>
      </w:r>
      <w:r w:rsidR="00955730">
        <w:rPr>
          <w:rFonts w:ascii="Times New Roman" w:hAnsi="Times New Roman" w:cs="Times New Roman"/>
          <w:lang w:val="en-CA"/>
        </w:rPr>
        <w:t xml:space="preserve"> Second, </w:t>
      </w:r>
      <w:r w:rsidR="004E7339">
        <w:rPr>
          <w:rFonts w:ascii="Times New Roman" w:hAnsi="Times New Roman" w:cs="Times New Roman"/>
          <w:lang w:val="en-CA"/>
        </w:rPr>
        <w:t xml:space="preserve">as a single metric, </w:t>
      </w:r>
      <w:r w:rsidR="00237146">
        <w:rPr>
          <w:rFonts w:ascii="Times New Roman" w:hAnsi="Times New Roman" w:cs="Times New Roman"/>
          <w:lang w:val="en-CA"/>
        </w:rPr>
        <w:t>the concentration</w:t>
      </w:r>
      <w:r w:rsidR="001B2774">
        <w:rPr>
          <w:rFonts w:ascii="Times New Roman" w:hAnsi="Times New Roman" w:cs="Times New Roman"/>
          <w:lang w:val="en-CA"/>
        </w:rPr>
        <w:t xml:space="preserve"> coefficient for</w:t>
      </w:r>
      <w:r w:rsidR="00237146">
        <w:rPr>
          <w:rFonts w:ascii="Times New Roman" w:hAnsi="Times New Roman" w:cs="Times New Roman"/>
          <w:lang w:val="en-CA"/>
        </w:rPr>
        <w:t xml:space="preserve"> transfers does not allow a clear conceptualization of</w:t>
      </w:r>
      <w:r w:rsidR="00AC6E0C">
        <w:rPr>
          <w:rFonts w:ascii="Times New Roman" w:hAnsi="Times New Roman" w:cs="Times New Roman"/>
          <w:lang w:val="en-CA"/>
        </w:rPr>
        <w:t xml:space="preserve"> a</w:t>
      </w:r>
      <w:r w:rsidR="0058557E">
        <w:rPr>
          <w:rFonts w:ascii="Times New Roman" w:hAnsi="Times New Roman" w:cs="Times New Roman"/>
          <w:lang w:val="en-CA"/>
        </w:rPr>
        <w:t xml:space="preserve"> hybrid</w:t>
      </w:r>
      <w:r w:rsidR="00927BCC">
        <w:rPr>
          <w:rFonts w:ascii="Times New Roman" w:hAnsi="Times New Roman" w:cs="Times New Roman"/>
          <w:lang w:val="en-CA"/>
        </w:rPr>
        <w:t xml:space="preserve"> configuration</w:t>
      </w:r>
      <w:r w:rsidR="0058557E">
        <w:rPr>
          <w:rFonts w:ascii="Times New Roman" w:hAnsi="Times New Roman" w:cs="Times New Roman"/>
          <w:lang w:val="en-CA"/>
        </w:rPr>
        <w:t xml:space="preserve"> like</w:t>
      </w:r>
      <w:r w:rsidR="00237146">
        <w:rPr>
          <w:rFonts w:ascii="Times New Roman" w:hAnsi="Times New Roman" w:cs="Times New Roman"/>
          <w:lang w:val="en-CA"/>
        </w:rPr>
        <w:t xml:space="preserve"> targeting within universalism, except as a</w:t>
      </w:r>
      <w:r w:rsidR="00E15CFF">
        <w:rPr>
          <w:rFonts w:ascii="Times New Roman" w:hAnsi="Times New Roman" w:cs="Times New Roman"/>
          <w:lang w:val="en-CA"/>
        </w:rPr>
        <w:t xml:space="preserve"> possible combination of </w:t>
      </w:r>
      <w:r w:rsidR="007924E6">
        <w:rPr>
          <w:rFonts w:ascii="Times New Roman" w:hAnsi="Times New Roman" w:cs="Times New Roman"/>
          <w:lang w:val="en-CA"/>
        </w:rPr>
        <w:t>opposite</w:t>
      </w:r>
      <w:r w:rsidR="00E15CFF">
        <w:rPr>
          <w:rFonts w:ascii="Times New Roman" w:hAnsi="Times New Roman" w:cs="Times New Roman"/>
          <w:lang w:val="en-CA"/>
        </w:rPr>
        <w:t xml:space="preserve"> traits, a pattern, write Marx et al., </w:t>
      </w:r>
      <w:r w:rsidR="0035249A">
        <w:rPr>
          <w:rFonts w:ascii="Times New Roman" w:hAnsi="Times New Roman" w:cs="Times New Roman"/>
          <w:lang w:val="en-CA"/>
        </w:rPr>
        <w:t>“whereby</w:t>
      </w:r>
      <w:r w:rsidR="0058557E">
        <w:rPr>
          <w:rFonts w:ascii="Times New Roman" w:hAnsi="Times New Roman" w:cs="Times New Roman"/>
          <w:lang w:val="en-CA"/>
        </w:rPr>
        <w:t xml:space="preserve"> countries that </w:t>
      </w:r>
      <w:r w:rsidR="00E50AB5">
        <w:rPr>
          <w:rFonts w:ascii="Times New Roman" w:hAnsi="Times New Roman" w:cs="Times New Roman"/>
          <w:lang w:val="en-CA"/>
        </w:rPr>
        <w:t xml:space="preserve">have strong </w:t>
      </w:r>
      <w:r w:rsidR="009D023A">
        <w:rPr>
          <w:rFonts w:ascii="Times New Roman" w:hAnsi="Times New Roman" w:cs="Times New Roman"/>
          <w:lang w:val="en-CA"/>
        </w:rPr>
        <w:t>targeting within</w:t>
      </w:r>
      <w:r w:rsidR="00001B5C">
        <w:rPr>
          <w:rFonts w:ascii="Times New Roman" w:hAnsi="Times New Roman" w:cs="Times New Roman"/>
          <w:lang w:val="en-CA"/>
        </w:rPr>
        <w:t xml:space="preserve"> one provision have more universal tendencies in other” (2016: </w:t>
      </w:r>
      <w:r w:rsidR="00716895">
        <w:rPr>
          <w:rFonts w:ascii="Times New Roman" w:hAnsi="Times New Roman" w:cs="Times New Roman"/>
          <w:lang w:val="en-CA"/>
        </w:rPr>
        <w:t>21; see also Kenworthy, 2011: 61-2).</w:t>
      </w:r>
      <w:r w:rsidR="000F56A2">
        <w:rPr>
          <w:rFonts w:ascii="Times New Roman" w:hAnsi="Times New Roman" w:cs="Times New Roman"/>
          <w:lang w:val="en-CA"/>
        </w:rPr>
        <w:t xml:space="preserve"> It </w:t>
      </w:r>
      <w:r w:rsidR="00597E73">
        <w:rPr>
          <w:rFonts w:ascii="Times New Roman" w:hAnsi="Times New Roman" w:cs="Times New Roman"/>
          <w:lang w:val="en-CA"/>
        </w:rPr>
        <w:t>remains</w:t>
      </w:r>
      <w:r w:rsidR="00BA59BC">
        <w:rPr>
          <w:rFonts w:ascii="Times New Roman" w:hAnsi="Times New Roman" w:cs="Times New Roman"/>
          <w:lang w:val="en-CA"/>
        </w:rPr>
        <w:t xml:space="preserve"> difficult</w:t>
      </w:r>
      <w:r w:rsidR="000F56A2">
        <w:rPr>
          <w:rFonts w:ascii="Times New Roman" w:hAnsi="Times New Roman" w:cs="Times New Roman"/>
          <w:lang w:val="en-CA"/>
        </w:rPr>
        <w:t xml:space="preserve">, from this standpoint, </w:t>
      </w:r>
      <w:r w:rsidR="00BA59BC">
        <w:rPr>
          <w:rFonts w:ascii="Times New Roman" w:hAnsi="Times New Roman" w:cs="Times New Roman"/>
          <w:lang w:val="en-CA"/>
        </w:rPr>
        <w:t>to draw</w:t>
      </w:r>
      <w:r w:rsidR="000F56A2">
        <w:rPr>
          <w:rFonts w:ascii="Times New Roman" w:hAnsi="Times New Roman" w:cs="Times New Roman"/>
          <w:lang w:val="en-CA"/>
        </w:rPr>
        <w:t xml:space="preserve"> the boundar</w:t>
      </w:r>
      <w:r w:rsidR="007924E6">
        <w:rPr>
          <w:rFonts w:ascii="Times New Roman" w:hAnsi="Times New Roman" w:cs="Times New Roman"/>
          <w:lang w:val="en-CA"/>
        </w:rPr>
        <w:t>ies</w:t>
      </w:r>
      <w:r w:rsidR="000F56A2">
        <w:rPr>
          <w:rFonts w:ascii="Times New Roman" w:hAnsi="Times New Roman" w:cs="Times New Roman"/>
          <w:lang w:val="en-CA"/>
        </w:rPr>
        <w:t xml:space="preserve"> between</w:t>
      </w:r>
      <w:r w:rsidR="00F6169F">
        <w:rPr>
          <w:rFonts w:ascii="Times New Roman" w:hAnsi="Times New Roman" w:cs="Times New Roman"/>
          <w:lang w:val="en-CA"/>
        </w:rPr>
        <w:t xml:space="preserve"> universalism</w:t>
      </w:r>
      <w:r w:rsidR="007924E6">
        <w:rPr>
          <w:rFonts w:ascii="Times New Roman" w:hAnsi="Times New Roman" w:cs="Times New Roman"/>
          <w:lang w:val="en-CA"/>
        </w:rPr>
        <w:t>, targeting,</w:t>
      </w:r>
      <w:r w:rsidR="00F6169F">
        <w:rPr>
          <w:rFonts w:ascii="Times New Roman" w:hAnsi="Times New Roman" w:cs="Times New Roman"/>
          <w:lang w:val="en-CA"/>
        </w:rPr>
        <w:t xml:space="preserve"> and targeting within universalism.</w:t>
      </w:r>
      <w:r w:rsidR="00511533">
        <w:rPr>
          <w:rFonts w:ascii="Times New Roman" w:hAnsi="Times New Roman" w:cs="Times New Roman"/>
          <w:lang w:val="en-CA"/>
        </w:rPr>
        <w:t xml:space="preserve"> </w:t>
      </w:r>
      <w:r w:rsidR="0054633F">
        <w:rPr>
          <w:rFonts w:ascii="Times New Roman" w:hAnsi="Times New Roman" w:cs="Times New Roman"/>
          <w:lang w:val="en-CA"/>
        </w:rPr>
        <w:t>What is</w:t>
      </w:r>
      <w:r w:rsidR="00781FEA">
        <w:rPr>
          <w:rFonts w:ascii="Times New Roman" w:hAnsi="Times New Roman" w:cs="Times New Roman"/>
          <w:lang w:val="en-CA"/>
        </w:rPr>
        <w:t xml:space="preserve"> exactly</w:t>
      </w:r>
      <w:r w:rsidR="0054633F">
        <w:rPr>
          <w:rFonts w:ascii="Times New Roman" w:hAnsi="Times New Roman" w:cs="Times New Roman"/>
          <w:lang w:val="en-CA"/>
        </w:rPr>
        <w:t xml:space="preserve"> the mix of</w:t>
      </w:r>
      <w:r w:rsidR="00511533">
        <w:rPr>
          <w:rFonts w:ascii="Times New Roman" w:hAnsi="Times New Roman" w:cs="Times New Roman"/>
          <w:lang w:val="en-CA"/>
        </w:rPr>
        <w:t xml:space="preserve"> targeted</w:t>
      </w:r>
      <w:r w:rsidR="008E5F07">
        <w:rPr>
          <w:rFonts w:ascii="Times New Roman" w:hAnsi="Times New Roman" w:cs="Times New Roman"/>
          <w:lang w:val="en-CA"/>
        </w:rPr>
        <w:t xml:space="preserve"> and universal</w:t>
      </w:r>
      <w:r w:rsidR="00511533">
        <w:rPr>
          <w:rFonts w:ascii="Times New Roman" w:hAnsi="Times New Roman" w:cs="Times New Roman"/>
          <w:lang w:val="en-CA"/>
        </w:rPr>
        <w:t xml:space="preserve"> programs</w:t>
      </w:r>
      <w:r w:rsidR="008E5F07">
        <w:rPr>
          <w:rFonts w:ascii="Times New Roman" w:hAnsi="Times New Roman" w:cs="Times New Roman"/>
          <w:lang w:val="en-CA"/>
        </w:rPr>
        <w:t xml:space="preserve"> </w:t>
      </w:r>
      <w:r w:rsidR="0054633F">
        <w:rPr>
          <w:rFonts w:ascii="Times New Roman" w:hAnsi="Times New Roman" w:cs="Times New Roman"/>
          <w:lang w:val="en-CA"/>
        </w:rPr>
        <w:t>that</w:t>
      </w:r>
      <w:r w:rsidR="003B74D8">
        <w:rPr>
          <w:rFonts w:ascii="Times New Roman" w:hAnsi="Times New Roman" w:cs="Times New Roman"/>
          <w:lang w:val="en-CA"/>
        </w:rPr>
        <w:t xml:space="preserve"> would</w:t>
      </w:r>
      <w:r w:rsidR="0054633F">
        <w:rPr>
          <w:rFonts w:ascii="Times New Roman" w:hAnsi="Times New Roman" w:cs="Times New Roman"/>
          <w:lang w:val="en-CA"/>
        </w:rPr>
        <w:t xml:space="preserve"> allow </w:t>
      </w:r>
      <w:r w:rsidR="007E2486">
        <w:rPr>
          <w:rFonts w:ascii="Times New Roman" w:hAnsi="Times New Roman" w:cs="Times New Roman"/>
          <w:lang w:val="en-CA"/>
        </w:rPr>
        <w:t>us</w:t>
      </w:r>
      <w:r w:rsidR="008E5F07">
        <w:rPr>
          <w:rFonts w:ascii="Times New Roman" w:hAnsi="Times New Roman" w:cs="Times New Roman"/>
          <w:lang w:val="en-CA"/>
        </w:rPr>
        <w:t xml:space="preserve"> to speak</w:t>
      </w:r>
      <w:r w:rsidR="001025ED">
        <w:rPr>
          <w:rFonts w:ascii="Times New Roman" w:hAnsi="Times New Roman" w:cs="Times New Roman"/>
          <w:lang w:val="en-CA"/>
        </w:rPr>
        <w:t xml:space="preserve"> of targeting within</w:t>
      </w:r>
      <w:r w:rsidR="0054633F">
        <w:rPr>
          <w:rFonts w:ascii="Times New Roman" w:hAnsi="Times New Roman" w:cs="Times New Roman"/>
          <w:lang w:val="en-CA"/>
        </w:rPr>
        <w:t xml:space="preserve"> universalism?</w:t>
      </w:r>
      <w:r w:rsidR="00E05A06">
        <w:rPr>
          <w:rFonts w:ascii="Times New Roman" w:hAnsi="Times New Roman" w:cs="Times New Roman"/>
          <w:lang w:val="en-CA"/>
        </w:rPr>
        <w:t xml:space="preserve"> </w:t>
      </w:r>
    </w:p>
    <w:p w14:paraId="2D4345B9" w14:textId="3B39F96B" w:rsidR="00F45662" w:rsidRDefault="00F45662" w:rsidP="00F257A3">
      <w:pPr>
        <w:spacing w:line="480" w:lineRule="auto"/>
        <w:jc w:val="both"/>
        <w:rPr>
          <w:rFonts w:ascii="Times New Roman" w:hAnsi="Times New Roman" w:cs="Times New Roman"/>
          <w:lang w:val="en-CA"/>
        </w:rPr>
      </w:pPr>
      <w:r>
        <w:rPr>
          <w:rFonts w:ascii="Times New Roman" w:hAnsi="Times New Roman" w:cs="Times New Roman"/>
          <w:lang w:val="en-CA"/>
        </w:rPr>
        <w:tab/>
      </w:r>
      <w:r w:rsidR="00AE0205">
        <w:rPr>
          <w:rFonts w:ascii="Times New Roman" w:hAnsi="Times New Roman" w:cs="Times New Roman"/>
          <w:lang w:val="en-CA"/>
        </w:rPr>
        <w:t>An alternative</w:t>
      </w:r>
      <w:r>
        <w:rPr>
          <w:rFonts w:ascii="Times New Roman" w:hAnsi="Times New Roman" w:cs="Times New Roman"/>
          <w:lang w:val="en-CA"/>
        </w:rPr>
        <w:t xml:space="preserve"> avenue to capture targeting within universalism</w:t>
      </w:r>
      <w:r w:rsidR="00F90673">
        <w:rPr>
          <w:rFonts w:ascii="Times New Roman" w:hAnsi="Times New Roman" w:cs="Times New Roman"/>
          <w:lang w:val="en-CA"/>
        </w:rPr>
        <w:t xml:space="preserve"> </w:t>
      </w:r>
      <w:r w:rsidR="005568BF">
        <w:rPr>
          <w:rFonts w:ascii="Times New Roman" w:hAnsi="Times New Roman" w:cs="Times New Roman"/>
          <w:lang w:val="en-CA"/>
        </w:rPr>
        <w:t xml:space="preserve">focuses not on outcomes but on intentions, as anchored in welfare state institutions. The idea is to </w:t>
      </w:r>
      <w:r w:rsidR="00B973BB">
        <w:rPr>
          <w:rFonts w:ascii="Times New Roman" w:hAnsi="Times New Roman" w:cs="Times New Roman"/>
          <w:lang w:val="en-CA"/>
        </w:rPr>
        <w:t xml:space="preserve">look at the </w:t>
      </w:r>
      <w:r w:rsidR="000C50B9">
        <w:rPr>
          <w:rFonts w:ascii="Times New Roman" w:hAnsi="Times New Roman" w:cs="Times New Roman"/>
          <w:lang w:val="en-CA"/>
        </w:rPr>
        <w:t>logic and rules that govern social programs to differentiate</w:t>
      </w:r>
      <w:r w:rsidR="006C0145">
        <w:rPr>
          <w:rFonts w:ascii="Times New Roman" w:hAnsi="Times New Roman" w:cs="Times New Roman"/>
          <w:lang w:val="en-CA"/>
        </w:rPr>
        <w:t xml:space="preserve"> practices</w:t>
      </w:r>
      <w:r w:rsidR="00412F4C">
        <w:rPr>
          <w:rFonts w:ascii="Times New Roman" w:hAnsi="Times New Roman" w:cs="Times New Roman"/>
          <w:lang w:val="en-CA"/>
        </w:rPr>
        <w:t xml:space="preserve"> and countries</w:t>
      </w:r>
      <w:r w:rsidR="006C0145">
        <w:rPr>
          <w:rFonts w:ascii="Times New Roman" w:hAnsi="Times New Roman" w:cs="Times New Roman"/>
          <w:lang w:val="en-CA"/>
        </w:rPr>
        <w:t xml:space="preserve"> </w:t>
      </w:r>
      <w:r w:rsidR="004A2966">
        <w:rPr>
          <w:rFonts w:ascii="Times New Roman" w:hAnsi="Times New Roman" w:cs="Times New Roman"/>
          <w:lang w:val="en-CA"/>
        </w:rPr>
        <w:lastRenderedPageBreak/>
        <w:t>according to their more or less universal character</w:t>
      </w:r>
      <w:r w:rsidR="001B194C">
        <w:rPr>
          <w:rFonts w:ascii="Times New Roman" w:hAnsi="Times New Roman" w:cs="Times New Roman"/>
          <w:lang w:val="en-CA"/>
        </w:rPr>
        <w:t>. This can be done at the level of specific programs</w:t>
      </w:r>
      <w:r w:rsidR="004A2966">
        <w:rPr>
          <w:rFonts w:ascii="Times New Roman" w:hAnsi="Times New Roman" w:cs="Times New Roman"/>
          <w:lang w:val="en-CA"/>
        </w:rPr>
        <w:t xml:space="preserve"> (Van Lancker and Van Mechelen, 2015; Marchal and Van Lancker, 2018)</w:t>
      </w:r>
      <w:r w:rsidR="00E52DF4">
        <w:rPr>
          <w:rFonts w:ascii="Times New Roman" w:hAnsi="Times New Roman" w:cs="Times New Roman"/>
          <w:lang w:val="en-CA"/>
        </w:rPr>
        <w:t xml:space="preserve">, or </w:t>
      </w:r>
      <w:r w:rsidR="00E90A1A">
        <w:rPr>
          <w:rFonts w:ascii="Times New Roman" w:hAnsi="Times New Roman" w:cs="Times New Roman"/>
          <w:lang w:val="en-CA"/>
        </w:rPr>
        <w:t xml:space="preserve">for entire countries </w:t>
      </w:r>
      <w:r w:rsidR="00E52DF4">
        <w:rPr>
          <w:rFonts w:ascii="Times New Roman" w:hAnsi="Times New Roman" w:cs="Times New Roman"/>
          <w:lang w:val="en-CA"/>
        </w:rPr>
        <w:t xml:space="preserve">with </w:t>
      </w:r>
      <w:r w:rsidR="002C3974">
        <w:rPr>
          <w:rFonts w:ascii="Times New Roman" w:hAnsi="Times New Roman" w:cs="Times New Roman"/>
          <w:lang w:val="en-CA"/>
        </w:rPr>
        <w:t>encompassing indicators of welfare state</w:t>
      </w:r>
      <w:r w:rsidR="00547D84">
        <w:rPr>
          <w:rFonts w:ascii="Times New Roman" w:hAnsi="Times New Roman" w:cs="Times New Roman"/>
          <w:lang w:val="en-CA"/>
        </w:rPr>
        <w:t xml:space="preserve"> design (</w:t>
      </w:r>
      <w:r w:rsidR="00B37572">
        <w:rPr>
          <w:rFonts w:ascii="Times New Roman" w:hAnsi="Times New Roman" w:cs="Times New Roman"/>
          <w:lang w:val="en-CA"/>
        </w:rPr>
        <w:t>Brady and Burroway, 2012).</w:t>
      </w:r>
      <w:r w:rsidR="00A30191">
        <w:rPr>
          <w:rFonts w:ascii="Times New Roman" w:hAnsi="Times New Roman" w:cs="Times New Roman"/>
          <w:lang w:val="en-CA"/>
        </w:rPr>
        <w:t xml:space="preserve"> </w:t>
      </w:r>
      <w:r w:rsidR="002A3C9C">
        <w:rPr>
          <w:rFonts w:ascii="Times New Roman" w:hAnsi="Times New Roman" w:cs="Times New Roman"/>
          <w:lang w:val="en-CA"/>
        </w:rPr>
        <w:t>This</w:t>
      </w:r>
      <w:r w:rsidR="00A30191">
        <w:rPr>
          <w:rFonts w:ascii="Times New Roman" w:hAnsi="Times New Roman" w:cs="Times New Roman"/>
          <w:lang w:val="en-CA"/>
        </w:rPr>
        <w:t xml:space="preserve"> institutional approach</w:t>
      </w:r>
      <w:r w:rsidR="00FA1A4A">
        <w:rPr>
          <w:rFonts w:ascii="Times New Roman" w:hAnsi="Times New Roman" w:cs="Times New Roman"/>
          <w:lang w:val="en-CA"/>
        </w:rPr>
        <w:t xml:space="preserve"> </w:t>
      </w:r>
      <w:r w:rsidR="002A3C9C">
        <w:rPr>
          <w:rFonts w:ascii="Times New Roman" w:hAnsi="Times New Roman" w:cs="Times New Roman"/>
          <w:lang w:val="en-CA"/>
        </w:rPr>
        <w:t>is useful to locate</w:t>
      </w:r>
      <w:r w:rsidR="00FA1A4A">
        <w:rPr>
          <w:rFonts w:ascii="Times New Roman" w:hAnsi="Times New Roman" w:cs="Times New Roman"/>
          <w:lang w:val="en-CA"/>
        </w:rPr>
        <w:t xml:space="preserve"> social programs or</w:t>
      </w:r>
      <w:r w:rsidR="002A3C9C">
        <w:rPr>
          <w:rFonts w:ascii="Times New Roman" w:hAnsi="Times New Roman" w:cs="Times New Roman"/>
          <w:lang w:val="en-CA"/>
        </w:rPr>
        <w:t xml:space="preserve"> </w:t>
      </w:r>
      <w:r w:rsidR="00FA1A4A">
        <w:rPr>
          <w:rFonts w:ascii="Times New Roman" w:hAnsi="Times New Roman" w:cs="Times New Roman"/>
          <w:lang w:val="en-CA"/>
        </w:rPr>
        <w:t>welfare states along a continuum going from</w:t>
      </w:r>
      <w:r w:rsidR="00A37994">
        <w:rPr>
          <w:rFonts w:ascii="Times New Roman" w:hAnsi="Times New Roman" w:cs="Times New Roman"/>
          <w:lang w:val="en-CA"/>
        </w:rPr>
        <w:t xml:space="preserve"> residualism to</w:t>
      </w:r>
      <w:r w:rsidR="00FA1A4A">
        <w:rPr>
          <w:rFonts w:ascii="Times New Roman" w:hAnsi="Times New Roman" w:cs="Times New Roman"/>
          <w:lang w:val="en-CA"/>
        </w:rPr>
        <w:t xml:space="preserve"> </w:t>
      </w:r>
      <w:r w:rsidR="00131E05">
        <w:rPr>
          <w:rFonts w:ascii="Times New Roman" w:hAnsi="Times New Roman" w:cs="Times New Roman"/>
          <w:lang w:val="en-CA"/>
        </w:rPr>
        <w:t>universalis</w:t>
      </w:r>
      <w:r w:rsidR="00A37994">
        <w:rPr>
          <w:rFonts w:ascii="Times New Roman" w:hAnsi="Times New Roman" w:cs="Times New Roman"/>
          <w:lang w:val="en-CA"/>
        </w:rPr>
        <w:t>m</w:t>
      </w:r>
      <w:r w:rsidR="00131E05">
        <w:rPr>
          <w:rFonts w:ascii="Times New Roman" w:hAnsi="Times New Roman" w:cs="Times New Roman"/>
          <w:lang w:val="en-CA"/>
        </w:rPr>
        <w:t>, but it</w:t>
      </w:r>
      <w:r w:rsidR="00220251">
        <w:rPr>
          <w:rFonts w:ascii="Times New Roman" w:hAnsi="Times New Roman" w:cs="Times New Roman"/>
          <w:lang w:val="en-CA"/>
        </w:rPr>
        <w:t xml:space="preserve"> does not </w:t>
      </w:r>
      <w:r w:rsidR="00280E38">
        <w:rPr>
          <w:rFonts w:ascii="Times New Roman" w:hAnsi="Times New Roman" w:cs="Times New Roman"/>
          <w:lang w:val="en-CA"/>
        </w:rPr>
        <w:t>offer</w:t>
      </w:r>
      <w:r w:rsidR="00220251">
        <w:rPr>
          <w:rFonts w:ascii="Times New Roman" w:hAnsi="Times New Roman" w:cs="Times New Roman"/>
          <w:lang w:val="en-CA"/>
        </w:rPr>
        <w:t xml:space="preserve"> a clear conceptuali</w:t>
      </w:r>
      <w:r w:rsidR="00AC35C6">
        <w:rPr>
          <w:rFonts w:ascii="Times New Roman" w:hAnsi="Times New Roman" w:cs="Times New Roman"/>
          <w:lang w:val="en-CA"/>
        </w:rPr>
        <w:t>zation of targeting within universalism</w:t>
      </w:r>
      <w:r w:rsidR="00540D1E">
        <w:rPr>
          <w:rFonts w:ascii="Times New Roman" w:hAnsi="Times New Roman" w:cs="Times New Roman"/>
          <w:lang w:val="en-CA"/>
        </w:rPr>
        <w:t>, because</w:t>
      </w:r>
      <w:r w:rsidR="00685668">
        <w:rPr>
          <w:rFonts w:ascii="Times New Roman" w:hAnsi="Times New Roman" w:cs="Times New Roman"/>
          <w:lang w:val="en-CA"/>
        </w:rPr>
        <w:t xml:space="preserve"> it basically opposes</w:t>
      </w:r>
      <w:r w:rsidR="00A97933">
        <w:rPr>
          <w:rFonts w:ascii="Times New Roman" w:hAnsi="Times New Roman" w:cs="Times New Roman"/>
          <w:lang w:val="en-CA"/>
        </w:rPr>
        <w:t xml:space="preserve"> universalism and </w:t>
      </w:r>
      <w:r w:rsidR="00B72838">
        <w:rPr>
          <w:rFonts w:ascii="Times New Roman" w:hAnsi="Times New Roman" w:cs="Times New Roman"/>
          <w:lang w:val="en-CA"/>
        </w:rPr>
        <w:t>targeting</w:t>
      </w:r>
      <w:r w:rsidR="00AC35C6">
        <w:rPr>
          <w:rFonts w:ascii="Times New Roman" w:hAnsi="Times New Roman" w:cs="Times New Roman"/>
          <w:lang w:val="en-CA"/>
        </w:rPr>
        <w:t>.</w:t>
      </w:r>
      <w:r w:rsidR="00A22A53">
        <w:rPr>
          <w:rFonts w:ascii="Times New Roman" w:hAnsi="Times New Roman" w:cs="Times New Roman"/>
          <w:lang w:val="en-CA"/>
        </w:rPr>
        <w:t xml:space="preserve"> A program or a country </w:t>
      </w:r>
      <w:r w:rsidR="009F4F8D">
        <w:rPr>
          <w:rFonts w:ascii="Times New Roman" w:hAnsi="Times New Roman" w:cs="Times New Roman"/>
          <w:lang w:val="en-CA"/>
        </w:rPr>
        <w:t xml:space="preserve">simply </w:t>
      </w:r>
      <w:r w:rsidR="00A22A53">
        <w:rPr>
          <w:rFonts w:ascii="Times New Roman" w:hAnsi="Times New Roman" w:cs="Times New Roman"/>
          <w:lang w:val="en-CA"/>
        </w:rPr>
        <w:t>appear</w:t>
      </w:r>
      <w:r w:rsidR="009F4F8D">
        <w:rPr>
          <w:rFonts w:ascii="Times New Roman" w:hAnsi="Times New Roman" w:cs="Times New Roman"/>
          <w:lang w:val="en-CA"/>
        </w:rPr>
        <w:t xml:space="preserve"> as</w:t>
      </w:r>
      <w:r w:rsidR="00A22A53">
        <w:rPr>
          <w:rFonts w:ascii="Times New Roman" w:hAnsi="Times New Roman" w:cs="Times New Roman"/>
          <w:lang w:val="en-CA"/>
        </w:rPr>
        <w:t xml:space="preserve"> more or less universal</w:t>
      </w:r>
      <w:r w:rsidR="009F4F8D">
        <w:rPr>
          <w:rFonts w:ascii="Times New Roman" w:hAnsi="Times New Roman" w:cs="Times New Roman"/>
          <w:lang w:val="en-CA"/>
        </w:rPr>
        <w:t>.</w:t>
      </w:r>
      <w:r w:rsidR="00AC35C6">
        <w:rPr>
          <w:rFonts w:ascii="Times New Roman" w:hAnsi="Times New Roman" w:cs="Times New Roman"/>
          <w:lang w:val="en-CA"/>
        </w:rPr>
        <w:t xml:space="preserve"> As with the</w:t>
      </w:r>
      <w:r w:rsidR="009F4F8D">
        <w:rPr>
          <w:rFonts w:ascii="Times New Roman" w:hAnsi="Times New Roman" w:cs="Times New Roman"/>
          <w:lang w:val="en-CA"/>
        </w:rPr>
        <w:t xml:space="preserve"> first perspective based on</w:t>
      </w:r>
      <w:r w:rsidR="00AC35C6">
        <w:rPr>
          <w:rFonts w:ascii="Times New Roman" w:hAnsi="Times New Roman" w:cs="Times New Roman"/>
          <w:lang w:val="en-CA"/>
        </w:rPr>
        <w:t xml:space="preserve"> outcomes, </w:t>
      </w:r>
      <w:r w:rsidR="002A0C33">
        <w:rPr>
          <w:rFonts w:ascii="Times New Roman" w:hAnsi="Times New Roman" w:cs="Times New Roman"/>
          <w:lang w:val="en-CA"/>
        </w:rPr>
        <w:t>this focus on institutions</w:t>
      </w:r>
      <w:r w:rsidR="009F4F8D">
        <w:rPr>
          <w:rFonts w:ascii="Times New Roman" w:hAnsi="Times New Roman" w:cs="Times New Roman"/>
          <w:lang w:val="en-CA"/>
        </w:rPr>
        <w:t xml:space="preserve"> leaves </w:t>
      </w:r>
      <w:r w:rsidR="00E64ED6">
        <w:rPr>
          <w:rFonts w:ascii="Times New Roman" w:hAnsi="Times New Roman" w:cs="Times New Roman"/>
          <w:lang w:val="en-CA"/>
        </w:rPr>
        <w:t>targeting within universalism</w:t>
      </w:r>
      <w:r w:rsidR="00C90004">
        <w:rPr>
          <w:rFonts w:ascii="Times New Roman" w:hAnsi="Times New Roman" w:cs="Times New Roman"/>
          <w:lang w:val="en-CA"/>
        </w:rPr>
        <w:t xml:space="preserve"> </w:t>
      </w:r>
      <w:r w:rsidR="00192FB3">
        <w:rPr>
          <w:rFonts w:ascii="Times New Roman" w:hAnsi="Times New Roman" w:cs="Times New Roman"/>
          <w:lang w:val="en-CA"/>
        </w:rPr>
        <w:t>as</w:t>
      </w:r>
      <w:r w:rsidR="00C90004">
        <w:rPr>
          <w:rFonts w:ascii="Times New Roman" w:hAnsi="Times New Roman" w:cs="Times New Roman"/>
          <w:lang w:val="en-CA"/>
        </w:rPr>
        <w:t xml:space="preserve"> a</w:t>
      </w:r>
      <w:r w:rsidR="001B4AE2">
        <w:rPr>
          <w:rFonts w:ascii="Times New Roman" w:hAnsi="Times New Roman" w:cs="Times New Roman"/>
          <w:lang w:val="en-CA"/>
        </w:rPr>
        <w:t xml:space="preserve">n </w:t>
      </w:r>
      <w:r w:rsidR="00C90004">
        <w:rPr>
          <w:rFonts w:ascii="Times New Roman" w:hAnsi="Times New Roman" w:cs="Times New Roman"/>
          <w:lang w:val="en-CA"/>
        </w:rPr>
        <w:t>un</w:t>
      </w:r>
      <w:r w:rsidR="000D1F5F">
        <w:rPr>
          <w:rFonts w:ascii="Times New Roman" w:hAnsi="Times New Roman" w:cs="Times New Roman"/>
          <w:lang w:val="en-CA"/>
        </w:rPr>
        <w:t>specifi</w:t>
      </w:r>
      <w:r w:rsidR="00C90004">
        <w:rPr>
          <w:rFonts w:ascii="Times New Roman" w:hAnsi="Times New Roman" w:cs="Times New Roman"/>
          <w:lang w:val="en-CA"/>
        </w:rPr>
        <w:t>ed</w:t>
      </w:r>
      <w:r w:rsidR="001B4AE2">
        <w:rPr>
          <w:rFonts w:ascii="Times New Roman" w:hAnsi="Times New Roman" w:cs="Times New Roman"/>
          <w:lang w:val="en-CA"/>
        </w:rPr>
        <w:t xml:space="preserve"> halfway house, a</w:t>
      </w:r>
      <w:r w:rsidR="006F3783">
        <w:rPr>
          <w:rFonts w:ascii="Times New Roman" w:hAnsi="Times New Roman" w:cs="Times New Roman"/>
          <w:lang w:val="en-CA"/>
        </w:rPr>
        <w:t>n undefined</w:t>
      </w:r>
      <w:r w:rsidR="00C90004">
        <w:rPr>
          <w:rFonts w:ascii="Times New Roman" w:hAnsi="Times New Roman" w:cs="Times New Roman"/>
          <w:lang w:val="en-CA"/>
        </w:rPr>
        <w:t xml:space="preserve"> mix of universal and selective programs.</w:t>
      </w:r>
    </w:p>
    <w:p w14:paraId="50230EE6" w14:textId="7D777971" w:rsidR="005950DE" w:rsidRDefault="009D2DC6" w:rsidP="00F257A3">
      <w:pPr>
        <w:spacing w:line="480" w:lineRule="auto"/>
        <w:jc w:val="both"/>
        <w:rPr>
          <w:rFonts w:ascii="Times New Roman" w:hAnsi="Times New Roman" w:cs="Times New Roman"/>
          <w:lang w:val="en-CA"/>
        </w:rPr>
      </w:pPr>
      <w:r>
        <w:rPr>
          <w:rFonts w:ascii="Times New Roman" w:hAnsi="Times New Roman" w:cs="Times New Roman"/>
          <w:lang w:val="en-CA"/>
        </w:rPr>
        <w:tab/>
      </w:r>
      <w:r w:rsidR="000F0D83">
        <w:rPr>
          <w:rFonts w:ascii="Times New Roman" w:hAnsi="Times New Roman" w:cs="Times New Roman"/>
          <w:lang w:val="en-CA"/>
        </w:rPr>
        <w:t>A t</w:t>
      </w:r>
      <w:r>
        <w:rPr>
          <w:rFonts w:ascii="Times New Roman" w:hAnsi="Times New Roman" w:cs="Times New Roman"/>
          <w:lang w:val="en-CA"/>
        </w:rPr>
        <w:t>hird</w:t>
      </w:r>
      <w:r w:rsidR="000F0D83">
        <w:rPr>
          <w:rFonts w:ascii="Times New Roman" w:hAnsi="Times New Roman" w:cs="Times New Roman"/>
          <w:lang w:val="en-CA"/>
        </w:rPr>
        <w:t>, more promising</w:t>
      </w:r>
      <w:r>
        <w:rPr>
          <w:rFonts w:ascii="Times New Roman" w:hAnsi="Times New Roman" w:cs="Times New Roman"/>
          <w:lang w:val="en-CA"/>
        </w:rPr>
        <w:t xml:space="preserve"> option</w:t>
      </w:r>
      <w:r w:rsidR="000F0D83">
        <w:rPr>
          <w:rFonts w:ascii="Times New Roman" w:hAnsi="Times New Roman" w:cs="Times New Roman"/>
          <w:lang w:val="en-CA"/>
        </w:rPr>
        <w:t>,</w:t>
      </w:r>
      <w:r>
        <w:rPr>
          <w:rFonts w:ascii="Times New Roman" w:hAnsi="Times New Roman" w:cs="Times New Roman"/>
          <w:lang w:val="en-CA"/>
        </w:rPr>
        <w:t xml:space="preserve"> </w:t>
      </w:r>
      <w:r w:rsidR="000F0D83">
        <w:rPr>
          <w:rFonts w:ascii="Times New Roman" w:hAnsi="Times New Roman" w:cs="Times New Roman"/>
          <w:lang w:val="en-CA"/>
        </w:rPr>
        <w:t xml:space="preserve">considers both intentions and outcomes, using distinct measures to capture the two dimensions. David </w:t>
      </w:r>
      <w:r>
        <w:rPr>
          <w:rFonts w:ascii="Times New Roman" w:hAnsi="Times New Roman" w:cs="Times New Roman"/>
          <w:lang w:val="en-CA"/>
        </w:rPr>
        <w:t xml:space="preserve">Brady </w:t>
      </w:r>
      <w:r w:rsidR="000F0D83">
        <w:rPr>
          <w:rFonts w:ascii="Times New Roman" w:hAnsi="Times New Roman" w:cs="Times New Roman"/>
          <w:lang w:val="en-CA"/>
        </w:rPr>
        <w:t>and Amie</w:t>
      </w:r>
      <w:r>
        <w:rPr>
          <w:rFonts w:ascii="Times New Roman" w:hAnsi="Times New Roman" w:cs="Times New Roman"/>
          <w:lang w:val="en-CA"/>
        </w:rPr>
        <w:t xml:space="preserve"> Bostic</w:t>
      </w:r>
      <w:r w:rsidR="005950DE">
        <w:rPr>
          <w:rFonts w:ascii="Times New Roman" w:hAnsi="Times New Roman" w:cs="Times New Roman"/>
          <w:lang w:val="en-CA"/>
        </w:rPr>
        <w:t xml:space="preserve"> have pioner</w:t>
      </w:r>
      <w:r w:rsidR="000F0D83">
        <w:rPr>
          <w:rFonts w:ascii="Times New Roman" w:hAnsi="Times New Roman" w:cs="Times New Roman"/>
          <w:lang w:val="en-CA"/>
        </w:rPr>
        <w:t>ed this approach in a recent article, where they use the homogeneity of transfers as an indicator of universalism, distinct from concentration coefficients, best understood as measures of targeting</w:t>
      </w:r>
      <w:r w:rsidR="005950DE">
        <w:rPr>
          <w:rFonts w:ascii="Times New Roman" w:hAnsi="Times New Roman" w:cs="Times New Roman"/>
          <w:lang w:val="en-CA"/>
        </w:rPr>
        <w:t xml:space="preserve"> (2015).</w:t>
      </w:r>
    </w:p>
    <w:p w14:paraId="679C05FE" w14:textId="23D23668" w:rsidR="003343EB" w:rsidRDefault="00192FB3" w:rsidP="000C341A">
      <w:pPr>
        <w:spacing w:line="480" w:lineRule="auto"/>
        <w:jc w:val="both"/>
        <w:rPr>
          <w:rFonts w:ascii="Times New Roman" w:hAnsi="Times New Roman" w:cs="Times New Roman"/>
          <w:lang w:val="en-CA"/>
        </w:rPr>
      </w:pPr>
      <w:r>
        <w:rPr>
          <w:rFonts w:ascii="Times New Roman" w:hAnsi="Times New Roman" w:cs="Times New Roman"/>
          <w:lang w:val="en-CA"/>
        </w:rPr>
        <w:tab/>
        <w:t xml:space="preserve">In this article, we </w:t>
      </w:r>
      <w:r w:rsidR="005950DE">
        <w:rPr>
          <w:rFonts w:ascii="Times New Roman" w:hAnsi="Times New Roman" w:cs="Times New Roman"/>
          <w:lang w:val="en-CA"/>
        </w:rPr>
        <w:t>adopt a variant of this perspective</w:t>
      </w:r>
      <w:r w:rsidR="00251B6E">
        <w:rPr>
          <w:rFonts w:ascii="Times New Roman" w:hAnsi="Times New Roman" w:cs="Times New Roman"/>
          <w:lang w:val="en-CA"/>
        </w:rPr>
        <w:t>,</w:t>
      </w:r>
      <w:r w:rsidR="005950DE">
        <w:rPr>
          <w:rFonts w:ascii="Times New Roman" w:hAnsi="Times New Roman" w:cs="Times New Roman"/>
          <w:lang w:val="en-CA"/>
        </w:rPr>
        <w:t xml:space="preserve"> and combine measures of institutional</w:t>
      </w:r>
      <w:r w:rsidR="00251B6E">
        <w:rPr>
          <w:rFonts w:ascii="Times New Roman" w:hAnsi="Times New Roman" w:cs="Times New Roman"/>
          <w:lang w:val="en-CA"/>
        </w:rPr>
        <w:t xml:space="preserve"> </w:t>
      </w:r>
      <w:r w:rsidR="000E15D1">
        <w:rPr>
          <w:rFonts w:ascii="Times New Roman" w:hAnsi="Times New Roman" w:cs="Times New Roman"/>
          <w:lang w:val="en-CA"/>
        </w:rPr>
        <w:t>intentions and</w:t>
      </w:r>
      <w:r w:rsidR="005950DE">
        <w:rPr>
          <w:rFonts w:ascii="Times New Roman" w:hAnsi="Times New Roman" w:cs="Times New Roman"/>
          <w:lang w:val="en-CA"/>
        </w:rPr>
        <w:t xml:space="preserve"> of</w:t>
      </w:r>
      <w:r w:rsidR="000E15D1">
        <w:rPr>
          <w:rFonts w:ascii="Times New Roman" w:hAnsi="Times New Roman" w:cs="Times New Roman"/>
          <w:lang w:val="en-CA"/>
        </w:rPr>
        <w:t xml:space="preserve"> </w:t>
      </w:r>
      <w:r w:rsidR="005950DE">
        <w:rPr>
          <w:rFonts w:ascii="Times New Roman" w:hAnsi="Times New Roman" w:cs="Times New Roman"/>
          <w:lang w:val="en-CA"/>
        </w:rPr>
        <w:t xml:space="preserve">distributive </w:t>
      </w:r>
      <w:r w:rsidR="000E15D1">
        <w:rPr>
          <w:rFonts w:ascii="Times New Roman" w:hAnsi="Times New Roman" w:cs="Times New Roman"/>
          <w:lang w:val="en-CA"/>
        </w:rPr>
        <w:t>outcomes</w:t>
      </w:r>
      <w:r w:rsidR="0094165C">
        <w:rPr>
          <w:rFonts w:ascii="Times New Roman" w:hAnsi="Times New Roman" w:cs="Times New Roman"/>
          <w:lang w:val="en-CA"/>
        </w:rPr>
        <w:t xml:space="preserve"> to </w:t>
      </w:r>
      <w:r w:rsidR="00DF3933">
        <w:rPr>
          <w:rFonts w:ascii="Times New Roman" w:hAnsi="Times New Roman" w:cs="Times New Roman"/>
          <w:lang w:val="en-CA"/>
        </w:rPr>
        <w:t xml:space="preserve">develop </w:t>
      </w:r>
      <w:r w:rsidR="0094165C">
        <w:rPr>
          <w:rFonts w:ascii="Times New Roman" w:hAnsi="Times New Roman" w:cs="Times New Roman"/>
          <w:lang w:val="en-CA"/>
        </w:rPr>
        <w:t>a conceptualization and operationalization of targeting within universalism.</w:t>
      </w:r>
      <w:r w:rsidR="00EE55FB">
        <w:rPr>
          <w:rFonts w:ascii="Times New Roman" w:hAnsi="Times New Roman" w:cs="Times New Roman"/>
          <w:lang w:val="en-CA"/>
        </w:rPr>
        <w:t xml:space="preserve"> The institutional approach is used to determine </w:t>
      </w:r>
      <w:r w:rsidR="00BE08DF">
        <w:rPr>
          <w:rFonts w:ascii="Times New Roman" w:hAnsi="Times New Roman" w:cs="Times New Roman"/>
          <w:lang w:val="en-CA"/>
        </w:rPr>
        <w:t>the location of</w:t>
      </w:r>
      <w:r w:rsidR="00EE55FB">
        <w:rPr>
          <w:rFonts w:ascii="Times New Roman" w:hAnsi="Times New Roman" w:cs="Times New Roman"/>
          <w:lang w:val="en-CA"/>
        </w:rPr>
        <w:t xml:space="preserve"> a welfare state </w:t>
      </w:r>
      <w:r w:rsidR="006C1F28">
        <w:rPr>
          <w:rFonts w:ascii="Times New Roman" w:hAnsi="Times New Roman" w:cs="Times New Roman"/>
          <w:lang w:val="en-CA"/>
        </w:rPr>
        <w:t xml:space="preserve">on the </w:t>
      </w:r>
      <w:r w:rsidR="00BE08DF">
        <w:rPr>
          <w:rFonts w:ascii="Times New Roman" w:hAnsi="Times New Roman" w:cs="Times New Roman"/>
          <w:lang w:val="en-CA"/>
        </w:rPr>
        <w:t>universal</w:t>
      </w:r>
      <w:r w:rsidR="006C1F28">
        <w:rPr>
          <w:rFonts w:ascii="Times New Roman" w:hAnsi="Times New Roman" w:cs="Times New Roman"/>
          <w:lang w:val="en-CA"/>
        </w:rPr>
        <w:t>/residual</w:t>
      </w:r>
      <w:r w:rsidR="00BE08DF">
        <w:rPr>
          <w:rFonts w:ascii="Times New Roman" w:hAnsi="Times New Roman" w:cs="Times New Roman"/>
          <w:lang w:val="en-CA"/>
        </w:rPr>
        <w:t xml:space="preserve"> continuum and the outcomes</w:t>
      </w:r>
      <w:r w:rsidR="00136414">
        <w:rPr>
          <w:rFonts w:ascii="Times New Roman" w:hAnsi="Times New Roman" w:cs="Times New Roman"/>
          <w:lang w:val="en-CA"/>
        </w:rPr>
        <w:t xml:space="preserve"> </w:t>
      </w:r>
      <w:r w:rsidR="0095195A">
        <w:rPr>
          <w:rFonts w:ascii="Times New Roman" w:hAnsi="Times New Roman" w:cs="Times New Roman"/>
          <w:lang w:val="en-CA"/>
        </w:rPr>
        <w:t>perspective</w:t>
      </w:r>
      <w:r w:rsidR="00FA7D57">
        <w:rPr>
          <w:rFonts w:ascii="Times New Roman" w:hAnsi="Times New Roman" w:cs="Times New Roman"/>
          <w:lang w:val="en-CA"/>
        </w:rPr>
        <w:t xml:space="preserve"> </w:t>
      </w:r>
      <w:r w:rsidR="0095195A">
        <w:rPr>
          <w:rFonts w:ascii="Times New Roman" w:hAnsi="Times New Roman" w:cs="Times New Roman"/>
          <w:lang w:val="en-CA"/>
        </w:rPr>
        <w:t xml:space="preserve">to </w:t>
      </w:r>
      <w:r w:rsidR="00262EDF">
        <w:rPr>
          <w:rFonts w:ascii="Times New Roman" w:hAnsi="Times New Roman" w:cs="Times New Roman"/>
          <w:lang w:val="en-CA"/>
        </w:rPr>
        <w:t xml:space="preserve">establish </w:t>
      </w:r>
      <w:r w:rsidR="0095195A">
        <w:rPr>
          <w:rFonts w:ascii="Times New Roman" w:hAnsi="Times New Roman" w:cs="Times New Roman"/>
          <w:lang w:val="en-CA"/>
        </w:rPr>
        <w:t>whether transfers are targeted toward the poor or not.</w:t>
      </w:r>
      <w:r w:rsidR="00203FE5">
        <w:rPr>
          <w:rFonts w:ascii="Times New Roman" w:hAnsi="Times New Roman" w:cs="Times New Roman"/>
          <w:lang w:val="en-CA"/>
        </w:rPr>
        <w:t xml:space="preserve"> </w:t>
      </w:r>
      <w:r w:rsidR="007C5C04">
        <w:rPr>
          <w:rFonts w:ascii="Times New Roman" w:hAnsi="Times New Roman" w:cs="Times New Roman"/>
          <w:lang w:val="en-CA"/>
        </w:rPr>
        <w:t xml:space="preserve">A universal welfare state </w:t>
      </w:r>
      <w:r w:rsidR="00562257">
        <w:rPr>
          <w:rFonts w:ascii="Times New Roman" w:hAnsi="Times New Roman" w:cs="Times New Roman"/>
          <w:lang w:val="en-CA"/>
        </w:rPr>
        <w:t>is understoo</w:t>
      </w:r>
      <w:r w:rsidR="00485E85">
        <w:rPr>
          <w:rFonts w:ascii="Times New Roman" w:hAnsi="Times New Roman" w:cs="Times New Roman"/>
          <w:lang w:val="en-CA"/>
        </w:rPr>
        <w:t>d as one that offers</w:t>
      </w:r>
      <w:r w:rsidR="007C5C04">
        <w:rPr>
          <w:rFonts w:ascii="Times New Roman" w:hAnsi="Times New Roman" w:cs="Times New Roman"/>
          <w:lang w:val="en-CA"/>
        </w:rPr>
        <w:t xml:space="preserve"> public social programs to all citizens, </w:t>
      </w:r>
      <w:r w:rsidR="00485E85">
        <w:rPr>
          <w:rFonts w:ascii="Times New Roman" w:hAnsi="Times New Roman" w:cs="Times New Roman"/>
          <w:lang w:val="en-CA"/>
        </w:rPr>
        <w:t>with little or no</w:t>
      </w:r>
      <w:r w:rsidR="007C5C04">
        <w:rPr>
          <w:rFonts w:ascii="Times New Roman" w:hAnsi="Times New Roman" w:cs="Times New Roman"/>
          <w:lang w:val="en-CA"/>
        </w:rPr>
        <w:t xml:space="preserve"> means or income testing</w:t>
      </w:r>
      <w:r w:rsidR="00485E85">
        <w:rPr>
          <w:rFonts w:ascii="Times New Roman" w:hAnsi="Times New Roman" w:cs="Times New Roman"/>
          <w:lang w:val="en-CA"/>
        </w:rPr>
        <w:t>,</w:t>
      </w:r>
      <w:r w:rsidR="007C5C04">
        <w:rPr>
          <w:rFonts w:ascii="Times New Roman" w:hAnsi="Times New Roman" w:cs="Times New Roman"/>
          <w:lang w:val="en-CA"/>
        </w:rPr>
        <w:t xml:space="preserve"> and limit</w:t>
      </w:r>
      <w:r w:rsidR="00485E85">
        <w:rPr>
          <w:rFonts w:ascii="Times New Roman" w:hAnsi="Times New Roman" w:cs="Times New Roman"/>
          <w:lang w:val="en-CA"/>
        </w:rPr>
        <w:t>ed</w:t>
      </w:r>
      <w:r w:rsidR="007C5C04">
        <w:rPr>
          <w:rFonts w:ascii="Times New Roman" w:hAnsi="Times New Roman" w:cs="Times New Roman"/>
          <w:lang w:val="en-CA"/>
        </w:rPr>
        <w:t xml:space="preserve"> private alternatives. </w:t>
      </w:r>
      <w:r w:rsidR="00562257">
        <w:rPr>
          <w:rFonts w:ascii="Times New Roman" w:hAnsi="Times New Roman" w:cs="Times New Roman"/>
          <w:lang w:val="en-CA"/>
        </w:rPr>
        <w:t>Targeting within u</w:t>
      </w:r>
      <w:r w:rsidR="007C5C04">
        <w:rPr>
          <w:rFonts w:ascii="Times New Roman" w:hAnsi="Times New Roman" w:cs="Times New Roman"/>
          <w:lang w:val="en-CA"/>
        </w:rPr>
        <w:t xml:space="preserve">niversalism </w:t>
      </w:r>
      <w:r w:rsidR="00562257">
        <w:rPr>
          <w:rFonts w:ascii="Times New Roman" w:hAnsi="Times New Roman" w:cs="Times New Roman"/>
          <w:lang w:val="en-CA"/>
        </w:rPr>
        <w:t>takes place when such an</w:t>
      </w:r>
      <w:r w:rsidR="007C5C04">
        <w:rPr>
          <w:rFonts w:ascii="Times New Roman" w:hAnsi="Times New Roman" w:cs="Times New Roman"/>
          <w:lang w:val="en-CA"/>
        </w:rPr>
        <w:t xml:space="preserve"> institutional design </w:t>
      </w:r>
      <w:r w:rsidR="00562257">
        <w:rPr>
          <w:rFonts w:ascii="Times New Roman" w:hAnsi="Times New Roman" w:cs="Times New Roman"/>
          <w:lang w:val="en-CA"/>
        </w:rPr>
        <w:t xml:space="preserve">is combined </w:t>
      </w:r>
      <w:r w:rsidR="00562257">
        <w:rPr>
          <w:rFonts w:ascii="Times New Roman" w:hAnsi="Times New Roman" w:cs="Times New Roman"/>
          <w:lang w:val="en-CA"/>
        </w:rPr>
        <w:lastRenderedPageBreak/>
        <w:t>with pro-poor transfers</w:t>
      </w:r>
      <w:r w:rsidR="007C5C04">
        <w:rPr>
          <w:rFonts w:ascii="Times New Roman" w:hAnsi="Times New Roman" w:cs="Times New Roman"/>
          <w:lang w:val="en-CA"/>
        </w:rPr>
        <w:t>.</w:t>
      </w:r>
      <w:r w:rsidR="00562257">
        <w:rPr>
          <w:rFonts w:ascii="Times New Roman" w:hAnsi="Times New Roman" w:cs="Times New Roman"/>
          <w:lang w:val="en-CA"/>
        </w:rPr>
        <w:t xml:space="preserve"> </w:t>
      </w:r>
      <w:r w:rsidR="004625EB">
        <w:rPr>
          <w:rFonts w:ascii="Times New Roman" w:hAnsi="Times New Roman" w:cs="Times New Roman"/>
          <w:lang w:val="en-CA"/>
        </w:rPr>
        <w:t>If we label the opposite of universalism as residualism, f</w:t>
      </w:r>
      <w:r w:rsidR="00026406">
        <w:rPr>
          <w:rFonts w:ascii="Times New Roman" w:hAnsi="Times New Roman" w:cs="Times New Roman"/>
          <w:lang w:val="en-CA"/>
        </w:rPr>
        <w:t xml:space="preserve">our </w:t>
      </w:r>
      <w:r w:rsidR="004625EB">
        <w:rPr>
          <w:rFonts w:ascii="Times New Roman" w:hAnsi="Times New Roman" w:cs="Times New Roman"/>
          <w:lang w:val="en-CA"/>
        </w:rPr>
        <w:t xml:space="preserve">distinct </w:t>
      </w:r>
      <w:r w:rsidR="00B0191A">
        <w:rPr>
          <w:rFonts w:ascii="Times New Roman" w:hAnsi="Times New Roman" w:cs="Times New Roman"/>
          <w:lang w:val="en-CA"/>
        </w:rPr>
        <w:t xml:space="preserve">configurations can be </w:t>
      </w:r>
      <w:r w:rsidR="00187AA9">
        <w:rPr>
          <w:rFonts w:ascii="Times New Roman" w:hAnsi="Times New Roman" w:cs="Times New Roman"/>
          <w:lang w:val="en-CA"/>
        </w:rPr>
        <w:t>identifi</w:t>
      </w:r>
      <w:r w:rsidR="00426F30">
        <w:rPr>
          <w:rFonts w:ascii="Times New Roman" w:hAnsi="Times New Roman" w:cs="Times New Roman"/>
          <w:lang w:val="en-CA"/>
        </w:rPr>
        <w:t>ed</w:t>
      </w:r>
      <w:r w:rsidR="00B0191A">
        <w:rPr>
          <w:rFonts w:ascii="Times New Roman" w:hAnsi="Times New Roman" w:cs="Times New Roman"/>
          <w:lang w:val="en-CA"/>
        </w:rPr>
        <w:t xml:space="preserve"> and measured: </w:t>
      </w:r>
      <w:r w:rsidR="00A40822">
        <w:rPr>
          <w:rFonts w:ascii="Times New Roman" w:hAnsi="Times New Roman" w:cs="Times New Roman"/>
          <w:lang w:val="en-CA"/>
        </w:rPr>
        <w:t>universalism (</w:t>
      </w:r>
      <w:r w:rsidR="002E73BE">
        <w:rPr>
          <w:rFonts w:ascii="Times New Roman" w:hAnsi="Times New Roman" w:cs="Times New Roman"/>
          <w:lang w:val="en-CA"/>
        </w:rPr>
        <w:t>France, for instance</w:t>
      </w:r>
      <w:r w:rsidR="00A40822">
        <w:rPr>
          <w:rFonts w:ascii="Times New Roman" w:hAnsi="Times New Roman" w:cs="Times New Roman"/>
          <w:lang w:val="en-CA"/>
        </w:rPr>
        <w:t>), targeting within universalism</w:t>
      </w:r>
      <w:r w:rsidR="002E73BE">
        <w:rPr>
          <w:rFonts w:ascii="Times New Roman" w:hAnsi="Times New Roman" w:cs="Times New Roman"/>
          <w:lang w:val="en-CA"/>
        </w:rPr>
        <w:t xml:space="preserve"> (Denmark)</w:t>
      </w:r>
      <w:r w:rsidR="007D7757">
        <w:rPr>
          <w:rFonts w:ascii="Times New Roman" w:hAnsi="Times New Roman" w:cs="Times New Roman"/>
          <w:lang w:val="en-CA"/>
        </w:rPr>
        <w:t xml:space="preserve">, </w:t>
      </w:r>
      <w:r w:rsidR="005812BD">
        <w:rPr>
          <w:rFonts w:ascii="Times New Roman" w:hAnsi="Times New Roman" w:cs="Times New Roman"/>
          <w:lang w:val="en-CA"/>
        </w:rPr>
        <w:t>targeting</w:t>
      </w:r>
      <w:r w:rsidR="00EB454D">
        <w:rPr>
          <w:rFonts w:ascii="Times New Roman" w:hAnsi="Times New Roman" w:cs="Times New Roman"/>
          <w:lang w:val="en-CA"/>
        </w:rPr>
        <w:t xml:space="preserve"> </w:t>
      </w:r>
      <w:r w:rsidR="009C3DCF">
        <w:rPr>
          <w:rFonts w:ascii="Times New Roman" w:hAnsi="Times New Roman" w:cs="Times New Roman"/>
          <w:lang w:val="en-CA"/>
        </w:rPr>
        <w:t>within</w:t>
      </w:r>
      <w:r w:rsidR="00EB454D">
        <w:rPr>
          <w:rFonts w:ascii="Times New Roman" w:hAnsi="Times New Roman" w:cs="Times New Roman"/>
          <w:lang w:val="en-CA"/>
        </w:rPr>
        <w:t xml:space="preserve"> residualism</w:t>
      </w:r>
      <w:r w:rsidR="002E73BE">
        <w:rPr>
          <w:rFonts w:ascii="Times New Roman" w:hAnsi="Times New Roman" w:cs="Times New Roman"/>
          <w:lang w:val="en-CA"/>
        </w:rPr>
        <w:t xml:space="preserve"> (the United States)</w:t>
      </w:r>
      <w:r w:rsidR="005812BD">
        <w:rPr>
          <w:rFonts w:ascii="Times New Roman" w:hAnsi="Times New Roman" w:cs="Times New Roman"/>
          <w:lang w:val="en-CA"/>
        </w:rPr>
        <w:t xml:space="preserve">, and </w:t>
      </w:r>
      <w:r w:rsidR="00ED4C52">
        <w:rPr>
          <w:rFonts w:ascii="Times New Roman" w:hAnsi="Times New Roman" w:cs="Times New Roman"/>
          <w:lang w:val="en-CA"/>
        </w:rPr>
        <w:t>pro-rich residualism</w:t>
      </w:r>
      <w:r w:rsidR="002E73BE">
        <w:rPr>
          <w:rFonts w:ascii="Times New Roman" w:hAnsi="Times New Roman" w:cs="Times New Roman"/>
          <w:lang w:val="en-CA"/>
        </w:rPr>
        <w:t xml:space="preserve"> (Japan)</w:t>
      </w:r>
      <w:r w:rsidR="00ED4C52">
        <w:rPr>
          <w:rFonts w:ascii="Times New Roman" w:hAnsi="Times New Roman" w:cs="Times New Roman"/>
          <w:lang w:val="en-CA"/>
        </w:rPr>
        <w:t>.</w:t>
      </w:r>
      <w:r w:rsidR="00524459">
        <w:rPr>
          <w:rFonts w:ascii="Times New Roman" w:hAnsi="Times New Roman" w:cs="Times New Roman"/>
          <w:lang w:val="en-CA"/>
        </w:rPr>
        <w:t xml:space="preserve"> </w:t>
      </w:r>
    </w:p>
    <w:p w14:paraId="6D42670B" w14:textId="59314572" w:rsidR="00E745AF" w:rsidRDefault="003343EB" w:rsidP="00F257A3">
      <w:pPr>
        <w:spacing w:line="480" w:lineRule="auto"/>
        <w:jc w:val="both"/>
        <w:rPr>
          <w:rFonts w:ascii="Times New Roman" w:hAnsi="Times New Roman" w:cs="Times New Roman"/>
          <w:lang w:val="en-CA"/>
        </w:rPr>
      </w:pPr>
      <w:r>
        <w:rPr>
          <w:rFonts w:ascii="Times New Roman" w:hAnsi="Times New Roman" w:cs="Times New Roman"/>
          <w:lang w:val="en-CA"/>
        </w:rPr>
        <w:tab/>
        <w:t>The first part of the article develops this argument</w:t>
      </w:r>
      <w:r w:rsidR="00692D91">
        <w:rPr>
          <w:rFonts w:ascii="Times New Roman" w:hAnsi="Times New Roman" w:cs="Times New Roman"/>
          <w:lang w:val="en-CA"/>
        </w:rPr>
        <w:t xml:space="preserve"> about</w:t>
      </w:r>
      <w:r w:rsidR="0087084E">
        <w:rPr>
          <w:rFonts w:ascii="Times New Roman" w:hAnsi="Times New Roman" w:cs="Times New Roman"/>
          <w:lang w:val="en-CA"/>
        </w:rPr>
        <w:t xml:space="preserve"> the</w:t>
      </w:r>
      <w:r w:rsidR="00692D91">
        <w:rPr>
          <w:rFonts w:ascii="Times New Roman" w:hAnsi="Times New Roman" w:cs="Times New Roman"/>
          <w:lang w:val="en-CA"/>
        </w:rPr>
        <w:t xml:space="preserve"> </w:t>
      </w:r>
      <w:r w:rsidR="002E191C">
        <w:rPr>
          <w:rFonts w:ascii="Times New Roman" w:hAnsi="Times New Roman" w:cs="Times New Roman"/>
          <w:lang w:val="en-CA"/>
        </w:rPr>
        <w:t xml:space="preserve">two </w:t>
      </w:r>
      <w:r w:rsidR="00692D91">
        <w:rPr>
          <w:rFonts w:ascii="Times New Roman" w:hAnsi="Times New Roman" w:cs="Times New Roman"/>
          <w:lang w:val="en-CA"/>
        </w:rPr>
        <w:t>welfare state dimensions</w:t>
      </w:r>
      <w:r w:rsidR="0087084E">
        <w:rPr>
          <w:rFonts w:ascii="Times New Roman" w:hAnsi="Times New Roman" w:cs="Times New Roman"/>
          <w:lang w:val="en-CA"/>
        </w:rPr>
        <w:t xml:space="preserve"> necessary</w:t>
      </w:r>
      <w:r>
        <w:rPr>
          <w:rFonts w:ascii="Times New Roman" w:hAnsi="Times New Roman" w:cs="Times New Roman"/>
          <w:lang w:val="en-CA"/>
        </w:rPr>
        <w:t xml:space="preserve"> to </w:t>
      </w:r>
      <w:r w:rsidR="0087084E">
        <w:rPr>
          <w:rFonts w:ascii="Times New Roman" w:hAnsi="Times New Roman" w:cs="Times New Roman"/>
          <w:lang w:val="en-CA"/>
        </w:rPr>
        <w:t>provide</w:t>
      </w:r>
      <w:r>
        <w:rPr>
          <w:rFonts w:ascii="Times New Roman" w:hAnsi="Times New Roman" w:cs="Times New Roman"/>
          <w:lang w:val="en-CA"/>
        </w:rPr>
        <w:t xml:space="preserve"> a clear conceptualization of targeting within universalism</w:t>
      </w:r>
      <w:r w:rsidR="00633465">
        <w:rPr>
          <w:rFonts w:ascii="Times New Roman" w:hAnsi="Times New Roman" w:cs="Times New Roman"/>
          <w:lang w:val="en-CA"/>
        </w:rPr>
        <w:t xml:space="preserve">, </w:t>
      </w:r>
      <w:r w:rsidR="0026331F">
        <w:rPr>
          <w:rFonts w:ascii="Times New Roman" w:hAnsi="Times New Roman" w:cs="Times New Roman"/>
          <w:lang w:val="en-CA"/>
        </w:rPr>
        <w:t xml:space="preserve">it </w:t>
      </w:r>
      <w:r w:rsidR="004C35CB">
        <w:rPr>
          <w:rFonts w:ascii="Times New Roman" w:hAnsi="Times New Roman" w:cs="Times New Roman"/>
          <w:lang w:val="en-CA"/>
        </w:rPr>
        <w:t>explain</w:t>
      </w:r>
      <w:r w:rsidR="00462D42">
        <w:rPr>
          <w:rFonts w:ascii="Times New Roman" w:hAnsi="Times New Roman" w:cs="Times New Roman"/>
          <w:lang w:val="en-CA"/>
        </w:rPr>
        <w:t>s</w:t>
      </w:r>
      <w:r w:rsidR="004C35CB">
        <w:rPr>
          <w:rFonts w:ascii="Times New Roman" w:hAnsi="Times New Roman" w:cs="Times New Roman"/>
          <w:lang w:val="en-CA"/>
        </w:rPr>
        <w:t xml:space="preserve"> measurement choices</w:t>
      </w:r>
      <w:r w:rsidR="00633465">
        <w:rPr>
          <w:rFonts w:ascii="Times New Roman" w:hAnsi="Times New Roman" w:cs="Times New Roman"/>
          <w:lang w:val="en-CA"/>
        </w:rPr>
        <w:t xml:space="preserve">, </w:t>
      </w:r>
      <w:r w:rsidR="00995DD9">
        <w:rPr>
          <w:rFonts w:ascii="Times New Roman" w:hAnsi="Times New Roman" w:cs="Times New Roman"/>
          <w:lang w:val="en-CA"/>
        </w:rPr>
        <w:t xml:space="preserve">relates to </w:t>
      </w:r>
      <w:r w:rsidR="004625EB">
        <w:rPr>
          <w:rFonts w:ascii="Times New Roman" w:hAnsi="Times New Roman" w:cs="Times New Roman"/>
          <w:lang w:val="en-CA"/>
        </w:rPr>
        <w:t>earli</w:t>
      </w:r>
      <w:r w:rsidR="00995DD9">
        <w:rPr>
          <w:rFonts w:ascii="Times New Roman" w:hAnsi="Times New Roman" w:cs="Times New Roman"/>
          <w:lang w:val="en-CA"/>
        </w:rPr>
        <w:t>er studies disentangling different dimensions of targeting and universalism such as Brady and Bostic (2015)</w:t>
      </w:r>
      <w:r w:rsidR="00284D59">
        <w:rPr>
          <w:rFonts w:ascii="Times New Roman" w:hAnsi="Times New Roman" w:cs="Times New Roman"/>
          <w:lang w:val="en-CA"/>
        </w:rPr>
        <w:t xml:space="preserve"> and Marchal and Van Lancker (2018)</w:t>
      </w:r>
      <w:r w:rsidR="004625EB">
        <w:rPr>
          <w:rFonts w:ascii="Times New Roman" w:hAnsi="Times New Roman" w:cs="Times New Roman"/>
          <w:lang w:val="en-CA"/>
        </w:rPr>
        <w:t>,</w:t>
      </w:r>
      <w:r w:rsidR="00FC0208">
        <w:rPr>
          <w:rFonts w:ascii="Times New Roman" w:hAnsi="Times New Roman" w:cs="Times New Roman"/>
          <w:lang w:val="en-CA"/>
        </w:rPr>
        <w:t xml:space="preserve"> </w:t>
      </w:r>
      <w:r w:rsidR="00633465">
        <w:rPr>
          <w:rFonts w:ascii="Times New Roman" w:hAnsi="Times New Roman" w:cs="Times New Roman"/>
          <w:lang w:val="en-CA"/>
        </w:rPr>
        <w:t>and</w:t>
      </w:r>
      <w:r w:rsidR="00C110C1">
        <w:rPr>
          <w:rFonts w:ascii="Times New Roman" w:hAnsi="Times New Roman" w:cs="Times New Roman"/>
          <w:lang w:val="en-CA"/>
        </w:rPr>
        <w:t xml:space="preserve"> locate</w:t>
      </w:r>
      <w:r w:rsidR="00462D42">
        <w:rPr>
          <w:rFonts w:ascii="Times New Roman" w:hAnsi="Times New Roman" w:cs="Times New Roman"/>
          <w:lang w:val="en-CA"/>
        </w:rPr>
        <w:t>s</w:t>
      </w:r>
      <w:r w:rsidR="005808BB">
        <w:rPr>
          <w:rFonts w:ascii="Times New Roman" w:hAnsi="Times New Roman" w:cs="Times New Roman"/>
          <w:lang w:val="en-CA"/>
        </w:rPr>
        <w:t xml:space="preserve"> OECD countries</w:t>
      </w:r>
      <w:r w:rsidR="004863CC">
        <w:rPr>
          <w:rFonts w:ascii="Times New Roman" w:hAnsi="Times New Roman" w:cs="Times New Roman"/>
          <w:lang w:val="en-CA"/>
        </w:rPr>
        <w:t xml:space="preserve"> on</w:t>
      </w:r>
      <w:r w:rsidR="008C0089">
        <w:rPr>
          <w:rFonts w:ascii="Times New Roman" w:hAnsi="Times New Roman" w:cs="Times New Roman"/>
          <w:lang w:val="en-CA"/>
        </w:rPr>
        <w:t xml:space="preserve"> the </w:t>
      </w:r>
      <w:r w:rsidR="00D801FD">
        <w:rPr>
          <w:rFonts w:ascii="Times New Roman" w:hAnsi="Times New Roman" w:cs="Times New Roman"/>
          <w:lang w:val="en-CA"/>
        </w:rPr>
        <w:t xml:space="preserve">resulting </w:t>
      </w:r>
      <w:r w:rsidR="008C0089">
        <w:rPr>
          <w:rFonts w:ascii="Times New Roman" w:hAnsi="Times New Roman" w:cs="Times New Roman"/>
          <w:lang w:val="en-CA"/>
        </w:rPr>
        <w:t>targeting/universalism quadrant.</w:t>
      </w:r>
      <w:r w:rsidR="006147D3">
        <w:rPr>
          <w:rFonts w:ascii="Times New Roman" w:hAnsi="Times New Roman" w:cs="Times New Roman"/>
          <w:lang w:val="en-CA"/>
        </w:rPr>
        <w:t xml:space="preserve"> The Nordic countries</w:t>
      </w:r>
      <w:r w:rsidR="00FB5F64">
        <w:rPr>
          <w:rFonts w:ascii="Times New Roman" w:hAnsi="Times New Roman" w:cs="Times New Roman"/>
          <w:lang w:val="en-CA"/>
        </w:rPr>
        <w:t xml:space="preserve">, Belgium and New Zealand </w:t>
      </w:r>
      <w:r w:rsidR="00804DF4">
        <w:rPr>
          <w:rFonts w:ascii="Times New Roman" w:hAnsi="Times New Roman" w:cs="Times New Roman"/>
          <w:lang w:val="en-CA"/>
        </w:rPr>
        <w:t>emerge</w:t>
      </w:r>
      <w:r w:rsidR="003124C3">
        <w:rPr>
          <w:rFonts w:ascii="Times New Roman" w:hAnsi="Times New Roman" w:cs="Times New Roman"/>
          <w:lang w:val="en-CA"/>
        </w:rPr>
        <w:t xml:space="preserve"> as targeting within universalism welfare states.</w:t>
      </w:r>
      <w:r w:rsidR="002145AE">
        <w:rPr>
          <w:rFonts w:ascii="Times New Roman" w:hAnsi="Times New Roman" w:cs="Times New Roman"/>
          <w:lang w:val="en-CA"/>
        </w:rPr>
        <w:t xml:space="preserve"> </w:t>
      </w:r>
    </w:p>
    <w:p w14:paraId="33A915A4" w14:textId="611CBAF8" w:rsidR="00192FB3" w:rsidRDefault="004625EB" w:rsidP="00FC0208">
      <w:pPr>
        <w:spacing w:line="480" w:lineRule="auto"/>
        <w:ind w:firstLine="708"/>
        <w:jc w:val="both"/>
        <w:rPr>
          <w:rFonts w:ascii="Times New Roman" w:hAnsi="Times New Roman" w:cs="Times New Roman"/>
          <w:lang w:val="en-CA"/>
        </w:rPr>
      </w:pPr>
      <w:r>
        <w:rPr>
          <w:rFonts w:ascii="Times New Roman" w:hAnsi="Times New Roman" w:cs="Times New Roman"/>
          <w:lang w:val="en-CA"/>
        </w:rPr>
        <w:t xml:space="preserve">The article then </w:t>
      </w:r>
      <w:r w:rsidR="002145AE">
        <w:rPr>
          <w:rFonts w:ascii="Times New Roman" w:hAnsi="Times New Roman" w:cs="Times New Roman"/>
          <w:lang w:val="en-CA"/>
        </w:rPr>
        <w:t>look</w:t>
      </w:r>
      <w:r>
        <w:rPr>
          <w:rFonts w:ascii="Times New Roman" w:hAnsi="Times New Roman" w:cs="Times New Roman"/>
          <w:lang w:val="en-CA"/>
        </w:rPr>
        <w:t>s</w:t>
      </w:r>
      <w:r w:rsidR="00D508A1">
        <w:rPr>
          <w:rFonts w:ascii="Times New Roman" w:hAnsi="Times New Roman" w:cs="Times New Roman"/>
          <w:lang w:val="en-CA"/>
        </w:rPr>
        <w:t xml:space="preserve"> </w:t>
      </w:r>
      <w:r w:rsidR="00635D75">
        <w:rPr>
          <w:rFonts w:ascii="Times New Roman" w:hAnsi="Times New Roman" w:cs="Times New Roman"/>
          <w:lang w:val="en-CA"/>
        </w:rPr>
        <w:t xml:space="preserve">under the hood, to see what policies </w:t>
      </w:r>
      <w:r w:rsidR="000B0739">
        <w:rPr>
          <w:rFonts w:ascii="Times New Roman" w:hAnsi="Times New Roman" w:cs="Times New Roman"/>
          <w:lang w:val="en-CA"/>
        </w:rPr>
        <w:t>bring</w:t>
      </w:r>
      <w:r w:rsidR="00EF0A0C">
        <w:rPr>
          <w:rFonts w:ascii="Times New Roman" w:hAnsi="Times New Roman" w:cs="Times New Roman"/>
          <w:lang w:val="en-CA"/>
        </w:rPr>
        <w:t xml:space="preserve"> a state to achieve targeting within universalism.</w:t>
      </w:r>
      <w:r w:rsidR="00FC0208">
        <w:rPr>
          <w:rFonts w:ascii="Times New Roman" w:hAnsi="Times New Roman" w:cs="Times New Roman"/>
          <w:lang w:val="en-CA"/>
        </w:rPr>
        <w:t xml:space="preserve"> This is our main empirical contribution.</w:t>
      </w:r>
      <w:r w:rsidR="00B62550">
        <w:rPr>
          <w:rFonts w:ascii="Times New Roman" w:hAnsi="Times New Roman" w:cs="Times New Roman"/>
          <w:lang w:val="en-CA"/>
        </w:rPr>
        <w:t xml:space="preserve"> The question is intriguing because </w:t>
      </w:r>
      <w:r w:rsidR="00F7023C">
        <w:rPr>
          <w:rFonts w:ascii="Times New Roman" w:hAnsi="Times New Roman" w:cs="Times New Roman"/>
          <w:lang w:val="en-CA"/>
        </w:rPr>
        <w:t>the</w:t>
      </w:r>
      <w:r w:rsidR="00A867F2">
        <w:rPr>
          <w:rFonts w:ascii="Times New Roman" w:hAnsi="Times New Roman" w:cs="Times New Roman"/>
          <w:lang w:val="en-CA"/>
        </w:rPr>
        <w:t xml:space="preserve"> transfers of the</w:t>
      </w:r>
      <w:r w:rsidR="00B62550">
        <w:rPr>
          <w:rFonts w:ascii="Times New Roman" w:hAnsi="Times New Roman" w:cs="Times New Roman"/>
          <w:lang w:val="en-CA"/>
        </w:rPr>
        <w:t xml:space="preserve"> countries</w:t>
      </w:r>
      <w:r w:rsidR="00F7023C">
        <w:rPr>
          <w:rFonts w:ascii="Times New Roman" w:hAnsi="Times New Roman" w:cs="Times New Roman"/>
          <w:lang w:val="en-CA"/>
        </w:rPr>
        <w:t xml:space="preserve"> </w:t>
      </w:r>
      <w:r w:rsidR="00BF6604">
        <w:rPr>
          <w:rFonts w:ascii="Times New Roman" w:hAnsi="Times New Roman" w:cs="Times New Roman"/>
          <w:lang w:val="en-CA"/>
        </w:rPr>
        <w:t>identified as</w:t>
      </w:r>
      <w:r w:rsidR="005309D8">
        <w:rPr>
          <w:rFonts w:ascii="Times New Roman" w:hAnsi="Times New Roman" w:cs="Times New Roman"/>
          <w:lang w:val="en-CA"/>
        </w:rPr>
        <w:t xml:space="preserve"> such</w:t>
      </w:r>
      <w:r w:rsidR="00B62550">
        <w:rPr>
          <w:rFonts w:ascii="Times New Roman" w:hAnsi="Times New Roman" w:cs="Times New Roman"/>
          <w:lang w:val="en-CA"/>
        </w:rPr>
        <w:t xml:space="preserve"> </w:t>
      </w:r>
      <w:r w:rsidR="006E14E2">
        <w:rPr>
          <w:rFonts w:ascii="Times New Roman" w:hAnsi="Times New Roman" w:cs="Times New Roman"/>
          <w:lang w:val="en-CA"/>
        </w:rPr>
        <w:t xml:space="preserve">do not rely </w:t>
      </w:r>
      <w:r w:rsidR="00F22AF7">
        <w:rPr>
          <w:rFonts w:ascii="Times New Roman" w:hAnsi="Times New Roman" w:cs="Times New Roman"/>
          <w:lang w:val="en-CA"/>
        </w:rPr>
        <w:t>strongly</w:t>
      </w:r>
      <w:r w:rsidR="006E14E2">
        <w:rPr>
          <w:rFonts w:ascii="Times New Roman" w:hAnsi="Times New Roman" w:cs="Times New Roman"/>
          <w:lang w:val="en-CA"/>
        </w:rPr>
        <w:t xml:space="preserve"> on means-tested mechanisms</w:t>
      </w:r>
      <w:r w:rsidR="00F22AF7">
        <w:rPr>
          <w:rFonts w:ascii="Times New Roman" w:hAnsi="Times New Roman" w:cs="Times New Roman"/>
          <w:lang w:val="en-CA"/>
        </w:rPr>
        <w:t>,</w:t>
      </w:r>
      <w:r w:rsidR="006E14E2">
        <w:rPr>
          <w:rFonts w:ascii="Times New Roman" w:hAnsi="Times New Roman" w:cs="Times New Roman"/>
          <w:lang w:val="en-CA"/>
        </w:rPr>
        <w:t xml:space="preserve"> </w:t>
      </w:r>
      <w:r w:rsidR="006E14E2" w:rsidRPr="00B41D3A">
        <w:rPr>
          <w:rFonts w:ascii="Times New Roman" w:hAnsi="Times New Roman" w:cs="Times New Roman"/>
          <w:lang w:val="en-CA"/>
        </w:rPr>
        <w:t xml:space="preserve">and yet </w:t>
      </w:r>
      <w:r w:rsidR="00A70A29">
        <w:rPr>
          <w:rFonts w:ascii="Times New Roman" w:hAnsi="Times New Roman" w:cs="Times New Roman"/>
          <w:lang w:val="en-CA"/>
        </w:rPr>
        <w:t xml:space="preserve">they </w:t>
      </w:r>
      <w:r w:rsidR="006E14E2">
        <w:rPr>
          <w:rFonts w:ascii="Times New Roman" w:hAnsi="Times New Roman" w:cs="Times New Roman"/>
          <w:lang w:val="en-CA"/>
        </w:rPr>
        <w:t>produce</w:t>
      </w:r>
      <w:r w:rsidR="00B62550">
        <w:rPr>
          <w:rFonts w:ascii="Times New Roman" w:hAnsi="Times New Roman" w:cs="Times New Roman"/>
          <w:lang w:val="en-CA"/>
        </w:rPr>
        <w:t xml:space="preserve"> pro-poor</w:t>
      </w:r>
      <w:r w:rsidR="006E14E2">
        <w:rPr>
          <w:rFonts w:ascii="Times New Roman" w:hAnsi="Times New Roman" w:cs="Times New Roman"/>
          <w:lang w:val="en-CA"/>
        </w:rPr>
        <w:t xml:space="preserve"> </w:t>
      </w:r>
      <w:r w:rsidR="004544AD">
        <w:rPr>
          <w:rFonts w:ascii="Times New Roman" w:hAnsi="Times New Roman" w:cs="Times New Roman"/>
          <w:lang w:val="en-CA"/>
        </w:rPr>
        <w:t>redistributive outcomes.</w:t>
      </w:r>
      <w:r w:rsidR="00F22AF7">
        <w:rPr>
          <w:rFonts w:ascii="Times New Roman" w:hAnsi="Times New Roman" w:cs="Times New Roman"/>
          <w:lang w:val="en-CA"/>
        </w:rPr>
        <w:t xml:space="preserve"> The answer lies in </w:t>
      </w:r>
      <w:r w:rsidR="003F1C5A">
        <w:rPr>
          <w:rFonts w:ascii="Times New Roman" w:hAnsi="Times New Roman" w:cs="Times New Roman"/>
          <w:lang w:val="en-CA"/>
        </w:rPr>
        <w:t xml:space="preserve">the </w:t>
      </w:r>
      <w:r w:rsidR="00266253">
        <w:rPr>
          <w:rFonts w:ascii="Times New Roman" w:hAnsi="Times New Roman" w:cs="Times New Roman"/>
          <w:lang w:val="en-CA"/>
        </w:rPr>
        <w:t>configuration of old age</w:t>
      </w:r>
      <w:r w:rsidR="003F1C5A">
        <w:rPr>
          <w:rFonts w:ascii="Times New Roman" w:hAnsi="Times New Roman" w:cs="Times New Roman"/>
          <w:lang w:val="en-CA"/>
        </w:rPr>
        <w:t xml:space="preserve"> pensions</w:t>
      </w:r>
      <w:r w:rsidR="00F80F2D">
        <w:rPr>
          <w:rFonts w:ascii="Times New Roman" w:hAnsi="Times New Roman" w:cs="Times New Roman"/>
          <w:lang w:val="en-CA"/>
        </w:rPr>
        <w:t>, everywhere a major social transfer, and</w:t>
      </w:r>
      <w:r w:rsidR="003F2B9E">
        <w:rPr>
          <w:rFonts w:ascii="Times New Roman" w:hAnsi="Times New Roman" w:cs="Times New Roman"/>
          <w:lang w:val="en-CA"/>
        </w:rPr>
        <w:t xml:space="preserve"> in the level</w:t>
      </w:r>
      <w:r w:rsidR="00266253">
        <w:rPr>
          <w:rFonts w:ascii="Times New Roman" w:hAnsi="Times New Roman" w:cs="Times New Roman"/>
          <w:lang w:val="en-CA"/>
        </w:rPr>
        <w:t xml:space="preserve"> of</w:t>
      </w:r>
      <w:r w:rsidR="00F80F2D">
        <w:rPr>
          <w:rFonts w:ascii="Times New Roman" w:hAnsi="Times New Roman" w:cs="Times New Roman"/>
          <w:lang w:val="en-CA"/>
        </w:rPr>
        <w:t xml:space="preserve"> </w:t>
      </w:r>
      <w:r w:rsidR="001D0204">
        <w:rPr>
          <w:rFonts w:ascii="Times New Roman" w:hAnsi="Times New Roman" w:cs="Times New Roman"/>
          <w:lang w:val="en-CA"/>
        </w:rPr>
        <w:t xml:space="preserve">transfers </w:t>
      </w:r>
      <w:r w:rsidR="00DF3933">
        <w:rPr>
          <w:rFonts w:ascii="Times New Roman" w:hAnsi="Times New Roman" w:cs="Times New Roman"/>
          <w:lang w:val="en-CA"/>
        </w:rPr>
        <w:t>toward</w:t>
      </w:r>
      <w:r w:rsidR="001D0204">
        <w:rPr>
          <w:rFonts w:ascii="Times New Roman" w:hAnsi="Times New Roman" w:cs="Times New Roman"/>
          <w:lang w:val="en-CA"/>
        </w:rPr>
        <w:t xml:space="preserve"> working-age people.</w:t>
      </w:r>
      <w:r w:rsidR="00010740">
        <w:rPr>
          <w:rFonts w:ascii="Times New Roman" w:hAnsi="Times New Roman" w:cs="Times New Roman"/>
          <w:lang w:val="en-CA"/>
        </w:rPr>
        <w:t xml:space="preserve"> </w:t>
      </w:r>
      <w:r w:rsidR="00E2277F">
        <w:rPr>
          <w:rFonts w:ascii="Times New Roman" w:hAnsi="Times New Roman" w:cs="Times New Roman"/>
          <w:lang w:val="en-CA"/>
        </w:rPr>
        <w:t>Among universal welfare states, c</w:t>
      </w:r>
      <w:r w:rsidR="00010740">
        <w:rPr>
          <w:rFonts w:ascii="Times New Roman" w:hAnsi="Times New Roman" w:cs="Times New Roman"/>
          <w:lang w:val="en-CA"/>
        </w:rPr>
        <w:t xml:space="preserve">ountries that spend relatively more </w:t>
      </w:r>
      <w:r w:rsidR="007D6236">
        <w:rPr>
          <w:rFonts w:ascii="Times New Roman" w:hAnsi="Times New Roman" w:cs="Times New Roman"/>
          <w:lang w:val="en-CA"/>
        </w:rPr>
        <w:t>on pensions</w:t>
      </w:r>
      <w:r w:rsidR="003F2B9E">
        <w:rPr>
          <w:rFonts w:ascii="Times New Roman" w:hAnsi="Times New Roman" w:cs="Times New Roman"/>
          <w:lang w:val="en-CA"/>
        </w:rPr>
        <w:t xml:space="preserve">, and especially on </w:t>
      </w:r>
      <w:r w:rsidR="00D95FBA">
        <w:rPr>
          <w:rFonts w:ascii="Times New Roman" w:hAnsi="Times New Roman" w:cs="Times New Roman"/>
          <w:lang w:val="en-CA"/>
        </w:rPr>
        <w:t>earnings</w:t>
      </w:r>
      <w:r w:rsidR="00262EDF">
        <w:rPr>
          <w:rFonts w:ascii="Times New Roman" w:hAnsi="Times New Roman" w:cs="Times New Roman"/>
          <w:lang w:val="en-CA"/>
        </w:rPr>
        <w:t>-</w:t>
      </w:r>
      <w:r w:rsidR="00D95FBA">
        <w:rPr>
          <w:rFonts w:ascii="Times New Roman" w:hAnsi="Times New Roman" w:cs="Times New Roman"/>
          <w:lang w:val="en-CA"/>
        </w:rPr>
        <w:t>related</w:t>
      </w:r>
      <w:r w:rsidR="003F2B9E">
        <w:rPr>
          <w:rFonts w:ascii="Times New Roman" w:hAnsi="Times New Roman" w:cs="Times New Roman"/>
          <w:lang w:val="en-CA"/>
        </w:rPr>
        <w:t xml:space="preserve"> contributory programs,</w:t>
      </w:r>
      <w:r w:rsidR="007D6236">
        <w:rPr>
          <w:rFonts w:ascii="Times New Roman" w:hAnsi="Times New Roman" w:cs="Times New Roman"/>
          <w:lang w:val="en-CA"/>
        </w:rPr>
        <w:t xml:space="preserve"> tend to be pro-rich</w:t>
      </w:r>
      <w:r w:rsidR="003F2B9E">
        <w:rPr>
          <w:rFonts w:ascii="Times New Roman" w:hAnsi="Times New Roman" w:cs="Times New Roman"/>
          <w:lang w:val="en-CA"/>
        </w:rPr>
        <w:t>,</w:t>
      </w:r>
      <w:r w:rsidR="007D6236">
        <w:rPr>
          <w:rFonts w:ascii="Times New Roman" w:hAnsi="Times New Roman" w:cs="Times New Roman"/>
          <w:lang w:val="en-CA"/>
        </w:rPr>
        <w:t xml:space="preserve"> </w:t>
      </w:r>
      <w:r w:rsidR="003F2B9E">
        <w:rPr>
          <w:rFonts w:ascii="Times New Roman" w:hAnsi="Times New Roman" w:cs="Times New Roman"/>
          <w:lang w:val="en-CA"/>
        </w:rPr>
        <w:t xml:space="preserve">and </w:t>
      </w:r>
      <w:r w:rsidR="00010740">
        <w:rPr>
          <w:rFonts w:ascii="Times New Roman" w:hAnsi="Times New Roman" w:cs="Times New Roman"/>
          <w:lang w:val="en-CA"/>
        </w:rPr>
        <w:t xml:space="preserve">countries that </w:t>
      </w:r>
      <w:r w:rsidR="00E2277F">
        <w:rPr>
          <w:rFonts w:ascii="Times New Roman" w:hAnsi="Times New Roman" w:cs="Times New Roman"/>
          <w:lang w:val="en-CA"/>
        </w:rPr>
        <w:t>make a greater</w:t>
      </w:r>
      <w:r w:rsidR="004164DB">
        <w:rPr>
          <w:rFonts w:ascii="Times New Roman" w:hAnsi="Times New Roman" w:cs="Times New Roman"/>
          <w:lang w:val="en-CA"/>
        </w:rPr>
        <w:t xml:space="preserve"> </w:t>
      </w:r>
      <w:r w:rsidR="00E2277F">
        <w:rPr>
          <w:rFonts w:ascii="Times New Roman" w:hAnsi="Times New Roman" w:cs="Times New Roman"/>
          <w:lang w:val="en-CA"/>
        </w:rPr>
        <w:t>effort for working-age people tend to be pro-poor.</w:t>
      </w:r>
      <w:r w:rsidR="00461228">
        <w:rPr>
          <w:rFonts w:ascii="Times New Roman" w:hAnsi="Times New Roman" w:cs="Times New Roman"/>
          <w:lang w:val="en-CA"/>
        </w:rPr>
        <w:t xml:space="preserve"> </w:t>
      </w:r>
      <w:r w:rsidR="003F2B9E">
        <w:rPr>
          <w:rFonts w:ascii="Times New Roman" w:hAnsi="Times New Roman" w:cs="Times New Roman"/>
          <w:lang w:val="en-CA"/>
        </w:rPr>
        <w:t>W</w:t>
      </w:r>
      <w:r w:rsidR="004164DB">
        <w:rPr>
          <w:rFonts w:ascii="Times New Roman" w:hAnsi="Times New Roman" w:cs="Times New Roman"/>
          <w:lang w:val="en-CA"/>
        </w:rPr>
        <w:t xml:space="preserve">hen </w:t>
      </w:r>
      <w:r w:rsidR="003F2B9E">
        <w:rPr>
          <w:rFonts w:ascii="Times New Roman" w:hAnsi="Times New Roman" w:cs="Times New Roman"/>
          <w:lang w:val="en-CA"/>
        </w:rPr>
        <w:t>old age spending is not exceedingly pro-rich and when working</w:t>
      </w:r>
      <w:r w:rsidR="00DF3933">
        <w:rPr>
          <w:rFonts w:ascii="Times New Roman" w:hAnsi="Times New Roman" w:cs="Times New Roman"/>
          <w:lang w:val="en-CA"/>
        </w:rPr>
        <w:t>-age transfers prove</w:t>
      </w:r>
      <w:r w:rsidR="003F2B9E">
        <w:rPr>
          <w:rFonts w:ascii="Times New Roman" w:hAnsi="Times New Roman" w:cs="Times New Roman"/>
          <w:lang w:val="en-CA"/>
        </w:rPr>
        <w:t xml:space="preserve"> generous</w:t>
      </w:r>
      <w:r w:rsidR="00461228">
        <w:rPr>
          <w:rFonts w:ascii="Times New Roman" w:hAnsi="Times New Roman" w:cs="Times New Roman"/>
          <w:lang w:val="en-CA"/>
        </w:rPr>
        <w:t xml:space="preserve">, </w:t>
      </w:r>
      <w:r w:rsidR="004164DB">
        <w:rPr>
          <w:rFonts w:ascii="Times New Roman" w:hAnsi="Times New Roman" w:cs="Times New Roman"/>
          <w:lang w:val="en-CA"/>
        </w:rPr>
        <w:t xml:space="preserve">the result is </w:t>
      </w:r>
      <w:r w:rsidR="00461228">
        <w:rPr>
          <w:rFonts w:ascii="Times New Roman" w:hAnsi="Times New Roman" w:cs="Times New Roman"/>
          <w:lang w:val="en-CA"/>
        </w:rPr>
        <w:t>targeting within universalism.</w:t>
      </w:r>
    </w:p>
    <w:p w14:paraId="666D999E" w14:textId="263DAF56" w:rsidR="00B439E0" w:rsidRDefault="00B439E0" w:rsidP="00F257A3">
      <w:pPr>
        <w:spacing w:line="480" w:lineRule="auto"/>
        <w:jc w:val="both"/>
        <w:rPr>
          <w:rFonts w:ascii="Times New Roman" w:hAnsi="Times New Roman" w:cs="Times New Roman"/>
          <w:lang w:val="en-CA"/>
        </w:rPr>
      </w:pPr>
      <w:r>
        <w:rPr>
          <w:rFonts w:ascii="Times New Roman" w:hAnsi="Times New Roman" w:cs="Times New Roman"/>
          <w:lang w:val="en-CA"/>
        </w:rPr>
        <w:lastRenderedPageBreak/>
        <w:tab/>
        <w:t xml:space="preserve">What about </w:t>
      </w:r>
      <w:r w:rsidR="00181C76">
        <w:rPr>
          <w:rFonts w:ascii="Times New Roman" w:hAnsi="Times New Roman" w:cs="Times New Roman"/>
          <w:lang w:val="en-CA"/>
        </w:rPr>
        <w:t>redistribution? Is it better to have universalism</w:t>
      </w:r>
      <w:r w:rsidR="004164DB">
        <w:rPr>
          <w:rFonts w:ascii="Times New Roman" w:hAnsi="Times New Roman" w:cs="Times New Roman"/>
          <w:lang w:val="en-CA"/>
        </w:rPr>
        <w:t xml:space="preserve"> pure and simple</w:t>
      </w:r>
      <w:r w:rsidR="00181C76">
        <w:rPr>
          <w:rFonts w:ascii="Times New Roman" w:hAnsi="Times New Roman" w:cs="Times New Roman"/>
          <w:lang w:val="en-CA"/>
        </w:rPr>
        <w:t xml:space="preserve"> or</w:t>
      </w:r>
      <w:r w:rsidR="002F740C">
        <w:rPr>
          <w:rFonts w:ascii="Times New Roman" w:hAnsi="Times New Roman" w:cs="Times New Roman"/>
          <w:lang w:val="en-CA"/>
        </w:rPr>
        <w:t xml:space="preserve"> should we bet on</w:t>
      </w:r>
      <w:r w:rsidR="00181C76">
        <w:rPr>
          <w:rFonts w:ascii="Times New Roman" w:hAnsi="Times New Roman" w:cs="Times New Roman"/>
          <w:lang w:val="en-CA"/>
        </w:rPr>
        <w:t xml:space="preserve"> targeting within universalism? This question is addressed i</w:t>
      </w:r>
      <w:r w:rsidR="00D30607">
        <w:rPr>
          <w:rFonts w:ascii="Times New Roman" w:hAnsi="Times New Roman" w:cs="Times New Roman"/>
          <w:lang w:val="en-CA"/>
        </w:rPr>
        <w:t xml:space="preserve">n the third part of the article, which </w:t>
      </w:r>
      <w:r w:rsidR="0027303E">
        <w:rPr>
          <w:rFonts w:ascii="Times New Roman" w:hAnsi="Times New Roman" w:cs="Times New Roman"/>
          <w:lang w:val="en-CA"/>
        </w:rPr>
        <w:t>reaffirms the importance of universalism for redistributio</w:t>
      </w:r>
      <w:r w:rsidR="00710EDF">
        <w:rPr>
          <w:rFonts w:ascii="Times New Roman" w:hAnsi="Times New Roman" w:cs="Times New Roman"/>
          <w:lang w:val="en-CA"/>
        </w:rPr>
        <w:t xml:space="preserve">n. </w:t>
      </w:r>
      <w:r w:rsidR="00152300">
        <w:rPr>
          <w:rFonts w:ascii="Times New Roman" w:hAnsi="Times New Roman" w:cs="Times New Roman"/>
          <w:lang w:val="en-CA"/>
        </w:rPr>
        <w:t>B</w:t>
      </w:r>
      <w:r w:rsidR="00710EDF">
        <w:rPr>
          <w:rFonts w:ascii="Times New Roman" w:hAnsi="Times New Roman" w:cs="Times New Roman"/>
          <w:lang w:val="en-CA"/>
        </w:rPr>
        <w:t>y themselves, without a universalist context</w:t>
      </w:r>
      <w:r w:rsidR="00F17465">
        <w:rPr>
          <w:rFonts w:ascii="Times New Roman" w:hAnsi="Times New Roman" w:cs="Times New Roman"/>
          <w:lang w:val="en-CA"/>
        </w:rPr>
        <w:t xml:space="preserve"> sustain</w:t>
      </w:r>
      <w:r w:rsidR="00375AC2">
        <w:rPr>
          <w:rFonts w:ascii="Times New Roman" w:hAnsi="Times New Roman" w:cs="Times New Roman"/>
          <w:lang w:val="en-CA"/>
        </w:rPr>
        <w:t>ing</w:t>
      </w:r>
      <w:r w:rsidR="00F17465">
        <w:rPr>
          <w:rFonts w:ascii="Times New Roman" w:hAnsi="Times New Roman" w:cs="Times New Roman"/>
          <w:lang w:val="en-CA"/>
        </w:rPr>
        <w:t xml:space="preserve"> a generous social budget,</w:t>
      </w:r>
      <w:r w:rsidR="00710EDF">
        <w:rPr>
          <w:rFonts w:ascii="Times New Roman" w:hAnsi="Times New Roman" w:cs="Times New Roman"/>
          <w:lang w:val="en-CA"/>
        </w:rPr>
        <w:t xml:space="preserve"> pro-poor transfers do not help the poor.</w:t>
      </w:r>
      <w:r w:rsidR="009521F8">
        <w:rPr>
          <w:rFonts w:ascii="Times New Roman" w:hAnsi="Times New Roman" w:cs="Times New Roman"/>
          <w:lang w:val="en-CA"/>
        </w:rPr>
        <w:t xml:space="preserve"> Targeting within universalism, however, seems to be an effective road toward redistribution</w:t>
      </w:r>
      <w:r w:rsidR="00F23CF7">
        <w:rPr>
          <w:rFonts w:ascii="Times New Roman" w:hAnsi="Times New Roman" w:cs="Times New Roman"/>
          <w:lang w:val="en-CA"/>
        </w:rPr>
        <w:t>,</w:t>
      </w:r>
      <w:r w:rsidR="009521F8">
        <w:rPr>
          <w:rFonts w:ascii="Times New Roman" w:hAnsi="Times New Roman" w:cs="Times New Roman"/>
          <w:lang w:val="en-CA"/>
        </w:rPr>
        <w:t xml:space="preserve"> b</w:t>
      </w:r>
      <w:r w:rsidR="004363A1">
        <w:rPr>
          <w:rFonts w:ascii="Times New Roman" w:hAnsi="Times New Roman" w:cs="Times New Roman"/>
          <w:lang w:val="en-CA"/>
        </w:rPr>
        <w:t>ecause it combines the virtues of universalism with the</w:t>
      </w:r>
      <w:r w:rsidR="0034168A">
        <w:rPr>
          <w:rFonts w:ascii="Times New Roman" w:hAnsi="Times New Roman" w:cs="Times New Roman"/>
          <w:lang w:val="en-CA"/>
        </w:rPr>
        <w:t xml:space="preserve"> </w:t>
      </w:r>
      <w:r w:rsidR="002B1819">
        <w:rPr>
          <w:rFonts w:ascii="Times New Roman" w:hAnsi="Times New Roman" w:cs="Times New Roman"/>
          <w:lang w:val="en-CA"/>
        </w:rPr>
        <w:t>selective</w:t>
      </w:r>
      <w:r w:rsidR="00C955EF">
        <w:rPr>
          <w:rFonts w:ascii="Times New Roman" w:hAnsi="Times New Roman" w:cs="Times New Roman"/>
          <w:lang w:val="en-CA"/>
        </w:rPr>
        <w:t xml:space="preserve"> impact</w:t>
      </w:r>
      <w:r w:rsidR="0034168A">
        <w:rPr>
          <w:rFonts w:ascii="Times New Roman" w:hAnsi="Times New Roman" w:cs="Times New Roman"/>
          <w:lang w:val="en-CA"/>
        </w:rPr>
        <w:t xml:space="preserve"> of pro-poor transfers</w:t>
      </w:r>
      <w:r w:rsidR="00C955EF">
        <w:rPr>
          <w:rFonts w:ascii="Times New Roman" w:hAnsi="Times New Roman" w:cs="Times New Roman"/>
          <w:lang w:val="en-CA"/>
        </w:rPr>
        <w:t>.</w:t>
      </w:r>
      <w:r w:rsidR="001F51B3">
        <w:rPr>
          <w:rFonts w:ascii="Times New Roman" w:hAnsi="Times New Roman" w:cs="Times New Roman"/>
          <w:lang w:val="en-CA"/>
        </w:rPr>
        <w:t xml:space="preserve"> Universalism favors</w:t>
      </w:r>
      <w:r w:rsidR="0003725D">
        <w:rPr>
          <w:rFonts w:ascii="Times New Roman" w:hAnsi="Times New Roman" w:cs="Times New Roman"/>
          <w:lang w:val="en-CA"/>
        </w:rPr>
        <w:t xml:space="preserve"> high levels of social expenditures and, thus, redistribution, while targeting</w:t>
      </w:r>
      <w:r w:rsidR="0081070E">
        <w:rPr>
          <w:rFonts w:ascii="Times New Roman" w:hAnsi="Times New Roman" w:cs="Times New Roman"/>
          <w:lang w:val="en-CA"/>
        </w:rPr>
        <w:t xml:space="preserve"> </w:t>
      </w:r>
      <w:r w:rsidR="0003725D">
        <w:rPr>
          <w:rFonts w:ascii="Times New Roman" w:hAnsi="Times New Roman" w:cs="Times New Roman"/>
          <w:lang w:val="en-CA"/>
        </w:rPr>
        <w:t>maximize</w:t>
      </w:r>
      <w:r w:rsidR="00DF3933">
        <w:rPr>
          <w:rFonts w:ascii="Times New Roman" w:hAnsi="Times New Roman" w:cs="Times New Roman"/>
          <w:lang w:val="en-CA"/>
        </w:rPr>
        <w:t>s</w:t>
      </w:r>
      <w:r w:rsidR="0003725D">
        <w:rPr>
          <w:rFonts w:ascii="Times New Roman" w:hAnsi="Times New Roman" w:cs="Times New Roman"/>
          <w:lang w:val="en-CA"/>
        </w:rPr>
        <w:t xml:space="preserve"> the impact</w:t>
      </w:r>
      <w:r w:rsidR="00594E40">
        <w:rPr>
          <w:rFonts w:ascii="Times New Roman" w:hAnsi="Times New Roman" w:cs="Times New Roman"/>
          <w:lang w:val="en-CA"/>
        </w:rPr>
        <w:t xml:space="preserve"> of social spending on the poor.</w:t>
      </w:r>
    </w:p>
    <w:p w14:paraId="57FE44A0" w14:textId="588F1601" w:rsidR="00153BE2" w:rsidRDefault="00C955EF" w:rsidP="00F257A3">
      <w:pPr>
        <w:spacing w:line="480" w:lineRule="auto"/>
        <w:jc w:val="both"/>
        <w:rPr>
          <w:rFonts w:ascii="Times New Roman" w:hAnsi="Times New Roman" w:cs="Times New Roman"/>
          <w:lang w:val="en-CA"/>
        </w:rPr>
      </w:pPr>
      <w:r>
        <w:rPr>
          <w:rFonts w:ascii="Times New Roman" w:hAnsi="Times New Roman" w:cs="Times New Roman"/>
          <w:lang w:val="en-CA"/>
        </w:rPr>
        <w:tab/>
        <w:t xml:space="preserve">The last part of the article </w:t>
      </w:r>
      <w:r w:rsidR="00166219">
        <w:rPr>
          <w:rFonts w:ascii="Times New Roman" w:hAnsi="Times New Roman" w:cs="Times New Roman"/>
          <w:lang w:val="en-CA"/>
        </w:rPr>
        <w:t>pulls the thread</w:t>
      </w:r>
      <w:r w:rsidR="009107EF">
        <w:rPr>
          <w:rFonts w:ascii="Times New Roman" w:hAnsi="Times New Roman" w:cs="Times New Roman"/>
          <w:lang w:val="en-CA"/>
        </w:rPr>
        <w:t>s</w:t>
      </w:r>
      <w:r w:rsidR="00166219">
        <w:rPr>
          <w:rFonts w:ascii="Times New Roman" w:hAnsi="Times New Roman" w:cs="Times New Roman"/>
          <w:lang w:val="en-CA"/>
        </w:rPr>
        <w:t xml:space="preserve"> together to identify, with </w:t>
      </w:r>
      <w:r w:rsidR="00375AC2">
        <w:rPr>
          <w:rFonts w:ascii="Times New Roman" w:hAnsi="Times New Roman" w:cs="Times New Roman"/>
          <w:lang w:val="en-CA"/>
        </w:rPr>
        <w:t>a</w:t>
      </w:r>
      <w:r w:rsidR="00C25FD4">
        <w:rPr>
          <w:rFonts w:ascii="Times New Roman" w:hAnsi="Times New Roman" w:cs="Times New Roman"/>
          <w:lang w:val="en-CA"/>
        </w:rPr>
        <w:t xml:space="preserve"> </w:t>
      </w:r>
      <w:r w:rsidR="00CC060D">
        <w:rPr>
          <w:rFonts w:ascii="Times New Roman" w:hAnsi="Times New Roman" w:cs="Times New Roman"/>
          <w:lang w:val="en-CA"/>
        </w:rPr>
        <w:t xml:space="preserve">qualitative </w:t>
      </w:r>
      <w:r w:rsidR="00375AC2">
        <w:rPr>
          <w:rFonts w:ascii="Times New Roman" w:hAnsi="Times New Roman" w:cs="Times New Roman"/>
          <w:lang w:val="en-CA"/>
        </w:rPr>
        <w:t>truth table</w:t>
      </w:r>
      <w:r w:rsidR="00CC060D">
        <w:rPr>
          <w:rFonts w:ascii="Times New Roman" w:hAnsi="Times New Roman" w:cs="Times New Roman"/>
          <w:lang w:val="en-CA"/>
        </w:rPr>
        <w:t xml:space="preserve">, the various welfare state and redistribution configurations that </w:t>
      </w:r>
      <w:r w:rsidR="00157CB1">
        <w:rPr>
          <w:rFonts w:ascii="Times New Roman" w:hAnsi="Times New Roman" w:cs="Times New Roman"/>
          <w:lang w:val="en-CA"/>
        </w:rPr>
        <w:t>exist within the OECD and</w:t>
      </w:r>
      <w:r w:rsidR="00B61A23">
        <w:rPr>
          <w:rFonts w:ascii="Times New Roman" w:hAnsi="Times New Roman" w:cs="Times New Roman"/>
          <w:lang w:val="en-CA"/>
        </w:rPr>
        <w:t xml:space="preserve"> outline, in particular, the difference between</w:t>
      </w:r>
      <w:r w:rsidR="00A02F53">
        <w:rPr>
          <w:rFonts w:ascii="Times New Roman" w:hAnsi="Times New Roman" w:cs="Times New Roman"/>
          <w:lang w:val="en-CA"/>
        </w:rPr>
        <w:t xml:space="preserve"> three types of universalism: universalism</w:t>
      </w:r>
      <w:r w:rsidR="005A5D51">
        <w:rPr>
          <w:rFonts w:ascii="Times New Roman" w:hAnsi="Times New Roman" w:cs="Times New Roman"/>
          <w:lang w:val="en-CA"/>
        </w:rPr>
        <w:t xml:space="preserve"> pure and simple</w:t>
      </w:r>
      <w:r w:rsidR="00A02F53">
        <w:rPr>
          <w:rFonts w:ascii="Times New Roman" w:hAnsi="Times New Roman" w:cs="Times New Roman"/>
          <w:lang w:val="en-CA"/>
        </w:rPr>
        <w:t>,</w:t>
      </w:r>
      <w:r w:rsidR="008C1D8E">
        <w:rPr>
          <w:rFonts w:ascii="Times New Roman" w:hAnsi="Times New Roman" w:cs="Times New Roman"/>
          <w:lang w:val="en-CA"/>
        </w:rPr>
        <w:t xml:space="preserve"> pro-old universalism, and</w:t>
      </w:r>
      <w:r w:rsidR="00B61A23">
        <w:rPr>
          <w:rFonts w:ascii="Times New Roman" w:hAnsi="Times New Roman" w:cs="Times New Roman"/>
          <w:lang w:val="en-CA"/>
        </w:rPr>
        <w:t xml:space="preserve"> targeting within universalism.</w:t>
      </w:r>
      <w:r w:rsidR="00B2759E">
        <w:rPr>
          <w:rFonts w:ascii="Times New Roman" w:hAnsi="Times New Roman" w:cs="Times New Roman"/>
          <w:lang w:val="en-CA"/>
        </w:rPr>
        <w:t xml:space="preserve"> </w:t>
      </w:r>
      <w:r w:rsidR="00153BE2">
        <w:rPr>
          <w:rFonts w:ascii="Times New Roman" w:hAnsi="Times New Roman" w:cs="Times New Roman"/>
          <w:lang w:val="en-CA"/>
        </w:rPr>
        <w:t>The conclusion wraps up and stresses the</w:t>
      </w:r>
      <w:r w:rsidR="00022177">
        <w:rPr>
          <w:rFonts w:ascii="Times New Roman" w:hAnsi="Times New Roman" w:cs="Times New Roman"/>
          <w:lang w:val="en-CA"/>
        </w:rPr>
        <w:t xml:space="preserve"> potential</w:t>
      </w:r>
      <w:r w:rsidR="00153BE2">
        <w:rPr>
          <w:rFonts w:ascii="Times New Roman" w:hAnsi="Times New Roman" w:cs="Times New Roman"/>
          <w:lang w:val="en-CA"/>
        </w:rPr>
        <w:t xml:space="preserve"> </w:t>
      </w:r>
      <w:r w:rsidR="00BF6224">
        <w:rPr>
          <w:rFonts w:ascii="Times New Roman" w:hAnsi="Times New Roman" w:cs="Times New Roman"/>
          <w:lang w:val="en-CA"/>
        </w:rPr>
        <w:t>advantages of targeting within universalism</w:t>
      </w:r>
      <w:r w:rsidR="00266D67">
        <w:rPr>
          <w:rFonts w:ascii="Times New Roman" w:hAnsi="Times New Roman" w:cs="Times New Roman"/>
          <w:lang w:val="en-CA"/>
        </w:rPr>
        <w:t>.</w:t>
      </w:r>
    </w:p>
    <w:p w14:paraId="35EC5F71" w14:textId="3C47825B" w:rsidR="00C0459B" w:rsidRDefault="00C0459B">
      <w:pPr>
        <w:rPr>
          <w:rFonts w:ascii="Times New Roman" w:hAnsi="Times New Roman" w:cs="Times New Roman"/>
          <w:b/>
          <w:lang w:val="en-CA"/>
        </w:rPr>
      </w:pPr>
    </w:p>
    <w:p w14:paraId="1E60A092" w14:textId="77777777" w:rsidR="00594E40" w:rsidRDefault="00594E40">
      <w:pPr>
        <w:rPr>
          <w:rFonts w:ascii="Times New Roman" w:hAnsi="Times New Roman" w:cs="Times New Roman"/>
          <w:b/>
          <w:lang w:val="en-CA"/>
        </w:rPr>
      </w:pPr>
    </w:p>
    <w:p w14:paraId="03E1607D" w14:textId="116917F7" w:rsidR="00E745AF" w:rsidRDefault="00E745AF" w:rsidP="00741D65">
      <w:pPr>
        <w:pStyle w:val="ListParagraph"/>
        <w:numPr>
          <w:ilvl w:val="0"/>
          <w:numId w:val="1"/>
        </w:numPr>
        <w:spacing w:line="480" w:lineRule="auto"/>
        <w:jc w:val="both"/>
        <w:rPr>
          <w:rFonts w:ascii="Times New Roman" w:hAnsi="Times New Roman" w:cs="Times New Roman"/>
          <w:b/>
          <w:lang w:val="en-CA"/>
        </w:rPr>
      </w:pPr>
      <w:r w:rsidRPr="00E745AF">
        <w:rPr>
          <w:rFonts w:ascii="Times New Roman" w:hAnsi="Times New Roman" w:cs="Times New Roman"/>
          <w:b/>
          <w:lang w:val="en-CA"/>
        </w:rPr>
        <w:t>Concepts, Measurement</w:t>
      </w:r>
      <w:r w:rsidR="00252FB8">
        <w:rPr>
          <w:rFonts w:ascii="Times New Roman" w:hAnsi="Times New Roman" w:cs="Times New Roman"/>
          <w:b/>
          <w:lang w:val="en-CA"/>
        </w:rPr>
        <w:t>,</w:t>
      </w:r>
      <w:r w:rsidRPr="00E745AF">
        <w:rPr>
          <w:rFonts w:ascii="Times New Roman" w:hAnsi="Times New Roman" w:cs="Times New Roman"/>
          <w:b/>
          <w:lang w:val="en-CA"/>
        </w:rPr>
        <w:t xml:space="preserve"> and Evidence</w:t>
      </w:r>
      <w:r>
        <w:rPr>
          <w:rFonts w:ascii="Times New Roman" w:hAnsi="Times New Roman" w:cs="Times New Roman"/>
          <w:b/>
          <w:lang w:val="en-CA"/>
        </w:rPr>
        <w:t xml:space="preserve">: </w:t>
      </w:r>
      <w:r w:rsidRPr="00E745AF">
        <w:rPr>
          <w:rFonts w:ascii="Times New Roman" w:hAnsi="Times New Roman" w:cs="Times New Roman"/>
          <w:b/>
          <w:lang w:val="en-CA"/>
        </w:rPr>
        <w:t>What is Targeting within Universalism?</w:t>
      </w:r>
    </w:p>
    <w:p w14:paraId="07C91CA0" w14:textId="77777777" w:rsidR="0078104A" w:rsidRDefault="0078104A" w:rsidP="0078104A">
      <w:pPr>
        <w:pStyle w:val="ListParagraph"/>
        <w:spacing w:line="480" w:lineRule="auto"/>
        <w:ind w:left="360"/>
        <w:jc w:val="both"/>
        <w:rPr>
          <w:rFonts w:ascii="Times New Roman" w:hAnsi="Times New Roman" w:cs="Times New Roman"/>
          <w:b/>
          <w:lang w:val="en-CA"/>
        </w:rPr>
      </w:pPr>
    </w:p>
    <w:p w14:paraId="1EB6BAC1" w14:textId="1EC89E2E" w:rsidR="00C9081C" w:rsidRPr="0078104A" w:rsidRDefault="0078104A" w:rsidP="0078104A">
      <w:pPr>
        <w:pStyle w:val="ListParagraph"/>
        <w:numPr>
          <w:ilvl w:val="1"/>
          <w:numId w:val="2"/>
        </w:numPr>
        <w:spacing w:line="480" w:lineRule="auto"/>
        <w:jc w:val="both"/>
        <w:rPr>
          <w:rFonts w:ascii="Times New Roman" w:hAnsi="Times New Roman" w:cs="Times New Roman"/>
          <w:lang w:val="en-CA"/>
        </w:rPr>
      </w:pPr>
      <w:r w:rsidRPr="0078104A">
        <w:rPr>
          <w:rFonts w:ascii="Times New Roman" w:hAnsi="Times New Roman" w:cs="Times New Roman"/>
          <w:lang w:val="en-CA"/>
        </w:rPr>
        <w:t>Concepts</w:t>
      </w:r>
    </w:p>
    <w:p w14:paraId="092878D1" w14:textId="77777777" w:rsidR="00C0459B" w:rsidRDefault="00C0459B" w:rsidP="00C0459B">
      <w:pPr>
        <w:spacing w:line="480" w:lineRule="auto"/>
        <w:ind w:firstLine="360"/>
        <w:jc w:val="both"/>
        <w:rPr>
          <w:rFonts w:ascii="Times New Roman" w:hAnsi="Times New Roman" w:cs="Times New Roman"/>
          <w:lang w:val="en-CA"/>
        </w:rPr>
      </w:pPr>
    </w:p>
    <w:p w14:paraId="2DB121BF" w14:textId="7557E08C" w:rsidR="00594E40" w:rsidRDefault="00B96D4B" w:rsidP="007406C2">
      <w:pPr>
        <w:spacing w:line="480" w:lineRule="auto"/>
        <w:jc w:val="both"/>
        <w:rPr>
          <w:rFonts w:ascii="Times New Roman" w:hAnsi="Times New Roman" w:cs="Times New Roman"/>
          <w:lang w:val="en-CA"/>
        </w:rPr>
      </w:pPr>
      <w:r>
        <w:rPr>
          <w:rFonts w:ascii="Times New Roman" w:hAnsi="Times New Roman" w:cs="Times New Roman"/>
          <w:lang w:val="en-CA"/>
        </w:rPr>
        <w:tab/>
      </w:r>
      <w:r w:rsidR="00C0459B">
        <w:rPr>
          <w:rFonts w:ascii="Times New Roman" w:hAnsi="Times New Roman" w:cs="Times New Roman"/>
          <w:lang w:val="en-CA"/>
        </w:rPr>
        <w:t xml:space="preserve">In </w:t>
      </w:r>
      <w:r w:rsidR="00C0459B" w:rsidRPr="00C0459B">
        <w:rPr>
          <w:rFonts w:ascii="Times New Roman" w:hAnsi="Times New Roman" w:cs="Times New Roman"/>
          <w:lang w:val="en-CA"/>
        </w:rPr>
        <w:t xml:space="preserve">the comparative study of the welfare state, universalism has </w:t>
      </w:r>
      <w:r w:rsidR="001E47E9">
        <w:rPr>
          <w:rFonts w:ascii="Times New Roman" w:hAnsi="Times New Roman" w:cs="Times New Roman"/>
          <w:lang w:val="en-CA"/>
        </w:rPr>
        <w:t>long</w:t>
      </w:r>
      <w:r w:rsidR="00C0459B" w:rsidRPr="00C0459B">
        <w:rPr>
          <w:rFonts w:ascii="Times New Roman" w:hAnsi="Times New Roman" w:cs="Times New Roman"/>
          <w:lang w:val="en-CA"/>
        </w:rPr>
        <w:t xml:space="preserve"> be</w:t>
      </w:r>
      <w:r w:rsidR="001E47E9">
        <w:rPr>
          <w:rFonts w:ascii="Times New Roman" w:hAnsi="Times New Roman" w:cs="Times New Roman"/>
          <w:lang w:val="en-CA"/>
        </w:rPr>
        <w:t>en</w:t>
      </w:r>
      <w:r w:rsidR="00C0459B" w:rsidRPr="00C0459B">
        <w:rPr>
          <w:rFonts w:ascii="Times New Roman" w:hAnsi="Times New Roman" w:cs="Times New Roman"/>
          <w:lang w:val="en-CA"/>
        </w:rPr>
        <w:t xml:space="preserve"> understood as the polar opposite of targeting, both concepts being measured by the same indicator, a concentration coefficient</w:t>
      </w:r>
      <w:r w:rsidR="008B54FF">
        <w:rPr>
          <w:rFonts w:ascii="Times New Roman" w:hAnsi="Times New Roman" w:cs="Times New Roman"/>
          <w:lang w:val="en-CA"/>
        </w:rPr>
        <w:t xml:space="preserve"> </w:t>
      </w:r>
      <w:r w:rsidR="000C341A">
        <w:rPr>
          <w:rFonts w:ascii="Times New Roman" w:hAnsi="Times New Roman" w:cs="Times New Roman"/>
          <w:lang w:val="en-CA"/>
        </w:rPr>
        <w:t>calculating</w:t>
      </w:r>
      <w:r w:rsidR="002314BE">
        <w:rPr>
          <w:rFonts w:ascii="Times New Roman" w:hAnsi="Times New Roman" w:cs="Times New Roman"/>
          <w:lang w:val="en-CA"/>
        </w:rPr>
        <w:t xml:space="preserve"> </w:t>
      </w:r>
      <w:r w:rsidR="00AB0B45">
        <w:rPr>
          <w:rFonts w:ascii="Times New Roman" w:hAnsi="Times New Roman" w:cs="Times New Roman"/>
          <w:lang w:val="en-CA"/>
        </w:rPr>
        <w:t xml:space="preserve">the distribution of transfers across </w:t>
      </w:r>
      <w:r w:rsidR="00532570">
        <w:rPr>
          <w:rFonts w:ascii="Times New Roman" w:hAnsi="Times New Roman" w:cs="Times New Roman"/>
          <w:lang w:val="en-CA"/>
        </w:rPr>
        <w:t>a</w:t>
      </w:r>
      <w:r w:rsidR="00AB0B45">
        <w:rPr>
          <w:rFonts w:ascii="Times New Roman" w:hAnsi="Times New Roman" w:cs="Times New Roman"/>
          <w:lang w:val="en-CA"/>
        </w:rPr>
        <w:t xml:space="preserve"> population</w:t>
      </w:r>
      <w:r w:rsidR="00C0459B" w:rsidRPr="00C0459B">
        <w:rPr>
          <w:rFonts w:ascii="Times New Roman" w:hAnsi="Times New Roman" w:cs="Times New Roman"/>
          <w:lang w:val="en-CA"/>
        </w:rPr>
        <w:t xml:space="preserve">. The idea, </w:t>
      </w:r>
      <w:r w:rsidR="009955BF">
        <w:rPr>
          <w:rFonts w:ascii="Times New Roman" w:hAnsi="Times New Roman" w:cs="Times New Roman"/>
          <w:lang w:val="en-CA"/>
        </w:rPr>
        <w:t xml:space="preserve">first </w:t>
      </w:r>
      <w:r w:rsidR="00C0459B" w:rsidRPr="00C0459B">
        <w:rPr>
          <w:rFonts w:ascii="Times New Roman" w:hAnsi="Times New Roman" w:cs="Times New Roman"/>
          <w:lang w:val="en-CA"/>
        </w:rPr>
        <w:t>introduced by Korpi and Palme</w:t>
      </w:r>
      <w:r w:rsidR="00DD1439">
        <w:rPr>
          <w:rFonts w:ascii="Times New Roman" w:hAnsi="Times New Roman" w:cs="Times New Roman"/>
          <w:lang w:val="en-CA"/>
        </w:rPr>
        <w:t xml:space="preserve"> </w:t>
      </w:r>
      <w:r w:rsidR="00C0459B" w:rsidRPr="00C0459B">
        <w:rPr>
          <w:rFonts w:ascii="Times New Roman" w:hAnsi="Times New Roman" w:cs="Times New Roman"/>
          <w:lang w:val="en-CA"/>
        </w:rPr>
        <w:t xml:space="preserve">(1998), </w:t>
      </w:r>
      <w:r w:rsidR="00080711">
        <w:rPr>
          <w:rFonts w:ascii="Times New Roman" w:hAnsi="Times New Roman" w:cs="Times New Roman"/>
          <w:lang w:val="en-CA"/>
        </w:rPr>
        <w:t>i</w:t>
      </w:r>
      <w:r w:rsidR="00C0459B" w:rsidRPr="00C0459B">
        <w:rPr>
          <w:rFonts w:ascii="Times New Roman" w:hAnsi="Times New Roman" w:cs="Times New Roman"/>
          <w:lang w:val="en-CA"/>
        </w:rPr>
        <w:t xml:space="preserve">s to operationalize </w:t>
      </w:r>
      <w:r w:rsidR="00C0459B" w:rsidRPr="00C0459B">
        <w:rPr>
          <w:rFonts w:ascii="Times New Roman" w:hAnsi="Times New Roman" w:cs="Times New Roman"/>
          <w:lang w:val="en-CA"/>
        </w:rPr>
        <w:lastRenderedPageBreak/>
        <w:t>targeting and universalism by their redistributive outcomes</w:t>
      </w:r>
      <w:r w:rsidR="00E717DA">
        <w:rPr>
          <w:rFonts w:ascii="Times New Roman" w:hAnsi="Times New Roman" w:cs="Times New Roman"/>
          <w:lang w:val="en-CA"/>
        </w:rPr>
        <w:t>. Universal welfare states would be more prone to give equally to all</w:t>
      </w:r>
      <w:r w:rsidR="007E1E76">
        <w:rPr>
          <w:rFonts w:ascii="Times New Roman" w:hAnsi="Times New Roman" w:cs="Times New Roman"/>
          <w:lang w:val="en-CA"/>
        </w:rPr>
        <w:t xml:space="preserve">, </w:t>
      </w:r>
      <w:r w:rsidR="00E717DA">
        <w:rPr>
          <w:rFonts w:ascii="Times New Roman" w:hAnsi="Times New Roman" w:cs="Times New Roman"/>
          <w:lang w:val="en-CA"/>
        </w:rPr>
        <w:t xml:space="preserve">targeting welfare states </w:t>
      </w:r>
      <w:r w:rsidR="00532570">
        <w:rPr>
          <w:rFonts w:ascii="Times New Roman" w:hAnsi="Times New Roman" w:cs="Times New Roman"/>
          <w:lang w:val="en-CA"/>
        </w:rPr>
        <w:t>more likely to</w:t>
      </w:r>
      <w:r w:rsidR="00E717DA">
        <w:rPr>
          <w:rFonts w:ascii="Times New Roman" w:hAnsi="Times New Roman" w:cs="Times New Roman"/>
          <w:lang w:val="en-CA"/>
        </w:rPr>
        <w:t xml:space="preserve"> fa</w:t>
      </w:r>
      <w:r w:rsidR="00532570">
        <w:rPr>
          <w:rFonts w:ascii="Times New Roman" w:hAnsi="Times New Roman" w:cs="Times New Roman"/>
          <w:lang w:val="en-CA"/>
        </w:rPr>
        <w:t>vour the poor</w:t>
      </w:r>
      <w:r w:rsidR="00436B5B">
        <w:rPr>
          <w:rFonts w:ascii="Times New Roman" w:hAnsi="Times New Roman" w:cs="Times New Roman"/>
          <w:lang w:val="en-CA"/>
        </w:rPr>
        <w:t xml:space="preserve"> (Kenworthy, 2011; </w:t>
      </w:r>
      <w:r w:rsidR="00B9407C">
        <w:rPr>
          <w:rFonts w:ascii="Times New Roman" w:hAnsi="Times New Roman" w:cs="Times New Roman"/>
          <w:lang w:val="en-CA"/>
        </w:rPr>
        <w:t>Marx et al., 2016).</w:t>
      </w:r>
      <w:r w:rsidR="00E5052D">
        <w:rPr>
          <w:rFonts w:ascii="Times New Roman" w:hAnsi="Times New Roman" w:cs="Times New Roman"/>
          <w:lang w:val="en-CA"/>
        </w:rPr>
        <w:t xml:space="preserve"> </w:t>
      </w:r>
      <w:r w:rsidR="001D456C">
        <w:rPr>
          <w:rFonts w:ascii="Times New Roman" w:hAnsi="Times New Roman" w:cs="Times New Roman"/>
          <w:lang w:val="en-CA"/>
        </w:rPr>
        <w:t>M</w:t>
      </w:r>
      <w:r w:rsidR="00E5052D">
        <w:rPr>
          <w:rFonts w:ascii="Times New Roman" w:hAnsi="Times New Roman" w:cs="Times New Roman"/>
          <w:lang w:val="en-CA"/>
        </w:rPr>
        <w:t>easure</w:t>
      </w:r>
      <w:r w:rsidR="00F5372C">
        <w:rPr>
          <w:rFonts w:ascii="Times New Roman" w:hAnsi="Times New Roman" w:cs="Times New Roman"/>
          <w:lang w:val="en-CA"/>
        </w:rPr>
        <w:t>s</w:t>
      </w:r>
      <w:r w:rsidR="00E5052D">
        <w:rPr>
          <w:rFonts w:ascii="Times New Roman" w:hAnsi="Times New Roman" w:cs="Times New Roman"/>
          <w:lang w:val="en-CA"/>
        </w:rPr>
        <w:t xml:space="preserve"> of </w:t>
      </w:r>
      <w:r w:rsidR="00F5372C">
        <w:rPr>
          <w:rFonts w:ascii="Times New Roman" w:hAnsi="Times New Roman" w:cs="Times New Roman"/>
          <w:lang w:val="en-CA"/>
        </w:rPr>
        <w:t xml:space="preserve">outcomes, however, </w:t>
      </w:r>
      <w:r w:rsidR="00DC0C4C">
        <w:rPr>
          <w:rFonts w:ascii="Times New Roman" w:hAnsi="Times New Roman" w:cs="Times New Roman"/>
          <w:lang w:val="en-CA"/>
        </w:rPr>
        <w:t>remain imperfect</w:t>
      </w:r>
      <w:r w:rsidR="005A2047">
        <w:rPr>
          <w:rFonts w:ascii="Times New Roman" w:hAnsi="Times New Roman" w:cs="Times New Roman"/>
          <w:lang w:val="en-CA"/>
        </w:rPr>
        <w:t xml:space="preserve"> indicators of </w:t>
      </w:r>
      <w:r w:rsidR="000423EE">
        <w:rPr>
          <w:rFonts w:ascii="Times New Roman" w:hAnsi="Times New Roman" w:cs="Times New Roman"/>
          <w:lang w:val="en-CA"/>
        </w:rPr>
        <w:t xml:space="preserve">targeting and </w:t>
      </w:r>
      <w:r w:rsidR="005A2047">
        <w:rPr>
          <w:rFonts w:ascii="Times New Roman" w:hAnsi="Times New Roman" w:cs="Times New Roman"/>
          <w:lang w:val="en-CA"/>
        </w:rPr>
        <w:t>universalism</w:t>
      </w:r>
      <w:r w:rsidR="00DC0C4C">
        <w:rPr>
          <w:rFonts w:ascii="Times New Roman" w:hAnsi="Times New Roman" w:cs="Times New Roman"/>
          <w:lang w:val="en-CA"/>
        </w:rPr>
        <w:t xml:space="preserve"> because</w:t>
      </w:r>
      <w:r w:rsidR="00940FAB">
        <w:rPr>
          <w:rFonts w:ascii="Times New Roman" w:hAnsi="Times New Roman" w:cs="Times New Roman"/>
          <w:lang w:val="en-CA"/>
        </w:rPr>
        <w:t xml:space="preserve"> they </w:t>
      </w:r>
      <w:r w:rsidR="009B75E8">
        <w:rPr>
          <w:rFonts w:ascii="Times New Roman" w:hAnsi="Times New Roman" w:cs="Times New Roman"/>
          <w:lang w:val="en-CA"/>
        </w:rPr>
        <w:t>reflect</w:t>
      </w:r>
      <w:r w:rsidR="00940FAB">
        <w:rPr>
          <w:rFonts w:ascii="Times New Roman" w:hAnsi="Times New Roman" w:cs="Times New Roman"/>
          <w:lang w:val="en-CA"/>
        </w:rPr>
        <w:t xml:space="preserve"> not only the</w:t>
      </w:r>
      <w:r w:rsidR="009B75E8">
        <w:rPr>
          <w:rFonts w:ascii="Times New Roman" w:hAnsi="Times New Roman" w:cs="Times New Roman"/>
          <w:lang w:val="en-CA"/>
        </w:rPr>
        <w:t xml:space="preserve"> impact of</w:t>
      </w:r>
      <w:r w:rsidR="00940FAB">
        <w:rPr>
          <w:rFonts w:ascii="Times New Roman" w:hAnsi="Times New Roman" w:cs="Times New Roman"/>
          <w:lang w:val="en-CA"/>
        </w:rPr>
        <w:t xml:space="preserve"> welfare institution</w:t>
      </w:r>
      <w:r w:rsidR="009B75E8">
        <w:rPr>
          <w:rFonts w:ascii="Times New Roman" w:hAnsi="Times New Roman" w:cs="Times New Roman"/>
          <w:lang w:val="en-CA"/>
        </w:rPr>
        <w:t>s</w:t>
      </w:r>
      <w:r w:rsidR="00940FAB">
        <w:rPr>
          <w:rFonts w:ascii="Times New Roman" w:hAnsi="Times New Roman" w:cs="Times New Roman"/>
          <w:lang w:val="en-CA"/>
        </w:rPr>
        <w:t xml:space="preserve">, but also </w:t>
      </w:r>
      <w:r w:rsidR="009B75E8">
        <w:rPr>
          <w:rFonts w:ascii="Times New Roman" w:hAnsi="Times New Roman" w:cs="Times New Roman"/>
          <w:lang w:val="en-CA"/>
        </w:rPr>
        <w:t>that of other social or economic factors</w:t>
      </w:r>
      <w:r w:rsidR="0000754E">
        <w:rPr>
          <w:rFonts w:ascii="Times New Roman" w:hAnsi="Times New Roman" w:cs="Times New Roman"/>
          <w:lang w:val="en-CA"/>
        </w:rPr>
        <w:t xml:space="preserve"> (</w:t>
      </w:r>
      <w:r w:rsidR="00866612">
        <w:rPr>
          <w:rFonts w:ascii="Times New Roman" w:hAnsi="Times New Roman" w:cs="Times New Roman"/>
          <w:lang w:val="en-CA"/>
        </w:rPr>
        <w:t>Van Lancker and Van Mechelen, 2015; Marchal and Van Lancker, 2018).</w:t>
      </w:r>
      <w:r w:rsidR="0011441D">
        <w:rPr>
          <w:rFonts w:ascii="Times New Roman" w:hAnsi="Times New Roman" w:cs="Times New Roman"/>
          <w:lang w:val="en-CA"/>
        </w:rPr>
        <w:t xml:space="preserve"> </w:t>
      </w:r>
      <w:r w:rsidR="00C603F3">
        <w:rPr>
          <w:rFonts w:ascii="Times New Roman" w:hAnsi="Times New Roman" w:cs="Times New Roman"/>
          <w:lang w:val="en-CA"/>
        </w:rPr>
        <w:t>Because they measure</w:t>
      </w:r>
      <w:r w:rsidR="009A276B">
        <w:rPr>
          <w:rFonts w:ascii="Times New Roman" w:hAnsi="Times New Roman" w:cs="Times New Roman"/>
          <w:lang w:val="en-CA"/>
        </w:rPr>
        <w:t xml:space="preserve"> policy and institutional orientations by their </w:t>
      </w:r>
      <w:r w:rsidR="00CA2FFB">
        <w:rPr>
          <w:rFonts w:ascii="Times New Roman" w:hAnsi="Times New Roman" w:cs="Times New Roman"/>
          <w:lang w:val="en-CA"/>
        </w:rPr>
        <w:t>impact on beneficiaries</w:t>
      </w:r>
      <w:r w:rsidR="00800BBA">
        <w:rPr>
          <w:rFonts w:ascii="Times New Roman" w:hAnsi="Times New Roman" w:cs="Times New Roman"/>
          <w:lang w:val="en-CA"/>
        </w:rPr>
        <w:t>, c</w:t>
      </w:r>
      <w:r w:rsidR="00C603F3">
        <w:rPr>
          <w:rFonts w:ascii="Times New Roman" w:hAnsi="Times New Roman" w:cs="Times New Roman"/>
          <w:lang w:val="en-CA"/>
        </w:rPr>
        <w:t>oncentration coefficients</w:t>
      </w:r>
      <w:r w:rsidR="00800BBA">
        <w:rPr>
          <w:rFonts w:ascii="Times New Roman" w:hAnsi="Times New Roman" w:cs="Times New Roman"/>
          <w:lang w:val="en-CA"/>
        </w:rPr>
        <w:t xml:space="preserve"> can be “highly dependent on the characteristics of the underlying population” (</w:t>
      </w:r>
      <w:r w:rsidR="008B4E61">
        <w:rPr>
          <w:rFonts w:ascii="Times New Roman" w:hAnsi="Times New Roman" w:cs="Times New Roman"/>
          <w:lang w:val="en-CA"/>
        </w:rPr>
        <w:t xml:space="preserve">Marx et al., 2016: 6). A universal program for single parents, for instance, may appear pro-poor if most of these </w:t>
      </w:r>
      <w:r w:rsidR="00F56A0F">
        <w:rPr>
          <w:rFonts w:ascii="Times New Roman" w:hAnsi="Times New Roman" w:cs="Times New Roman"/>
          <w:lang w:val="en-CA"/>
        </w:rPr>
        <w:t>parents have low incomes.</w:t>
      </w:r>
    </w:p>
    <w:p w14:paraId="1030A2D2" w14:textId="6FCEDCF8" w:rsidR="00741D65" w:rsidRDefault="00327EE9" w:rsidP="0011441D">
      <w:pPr>
        <w:spacing w:line="480" w:lineRule="auto"/>
        <w:ind w:firstLine="708"/>
        <w:jc w:val="both"/>
        <w:rPr>
          <w:rFonts w:ascii="Times New Roman" w:hAnsi="Times New Roman" w:cs="Times New Roman"/>
          <w:lang w:val="en-CA"/>
        </w:rPr>
      </w:pPr>
      <w:r>
        <w:rPr>
          <w:rFonts w:ascii="Times New Roman" w:hAnsi="Times New Roman" w:cs="Times New Roman"/>
          <w:lang w:val="en-CA"/>
        </w:rPr>
        <w:t xml:space="preserve">More importantly, </w:t>
      </w:r>
      <w:r w:rsidR="00E17ABB">
        <w:rPr>
          <w:rFonts w:ascii="Times New Roman" w:hAnsi="Times New Roman" w:cs="Times New Roman"/>
          <w:lang w:val="en-CA"/>
        </w:rPr>
        <w:t>concentration coefficients</w:t>
      </w:r>
      <w:r>
        <w:rPr>
          <w:rFonts w:ascii="Times New Roman" w:hAnsi="Times New Roman" w:cs="Times New Roman"/>
          <w:lang w:val="en-CA"/>
        </w:rPr>
        <w:t xml:space="preserve"> </w:t>
      </w:r>
      <w:r w:rsidR="00A81E93">
        <w:rPr>
          <w:rFonts w:ascii="Times New Roman" w:hAnsi="Times New Roman" w:cs="Times New Roman"/>
          <w:lang w:val="en-CA"/>
        </w:rPr>
        <w:t>conflate</w:t>
      </w:r>
      <w:r w:rsidR="0047008F">
        <w:rPr>
          <w:rFonts w:ascii="Times New Roman" w:hAnsi="Times New Roman" w:cs="Times New Roman"/>
          <w:lang w:val="en-CA"/>
        </w:rPr>
        <w:t xml:space="preserve"> two different dimensions of the welfare state: its</w:t>
      </w:r>
      <w:r w:rsidR="00FB15CE">
        <w:rPr>
          <w:rFonts w:ascii="Times New Roman" w:hAnsi="Times New Roman" w:cs="Times New Roman"/>
          <w:lang w:val="en-CA"/>
        </w:rPr>
        <w:t xml:space="preserve"> more of less universalist</w:t>
      </w:r>
      <w:r w:rsidR="0047008F">
        <w:rPr>
          <w:rFonts w:ascii="Times New Roman" w:hAnsi="Times New Roman" w:cs="Times New Roman"/>
          <w:lang w:val="en-CA"/>
        </w:rPr>
        <w:t xml:space="preserve"> institutional design</w:t>
      </w:r>
      <w:r w:rsidR="00FB15CE">
        <w:rPr>
          <w:rFonts w:ascii="Times New Roman" w:hAnsi="Times New Roman" w:cs="Times New Roman"/>
          <w:lang w:val="en-CA"/>
        </w:rPr>
        <w:t xml:space="preserve"> and its</w:t>
      </w:r>
      <w:r w:rsidR="00B21C18">
        <w:rPr>
          <w:rFonts w:ascii="Times New Roman" w:hAnsi="Times New Roman" w:cs="Times New Roman"/>
          <w:lang w:val="en-CA"/>
        </w:rPr>
        <w:t xml:space="preserve"> impact on different income groups.</w:t>
      </w:r>
      <w:r w:rsidR="005D3CB3">
        <w:rPr>
          <w:rFonts w:ascii="Times New Roman" w:hAnsi="Times New Roman" w:cs="Times New Roman"/>
          <w:lang w:val="en-CA"/>
        </w:rPr>
        <w:t xml:space="preserve"> As they do so, they make it difficult to </w:t>
      </w:r>
      <w:r w:rsidR="002D39D6">
        <w:rPr>
          <w:rFonts w:ascii="Times New Roman" w:hAnsi="Times New Roman" w:cs="Times New Roman"/>
          <w:lang w:val="en-CA"/>
        </w:rPr>
        <w:t>locate a targeting within universalism strategy, because the two aspects</w:t>
      </w:r>
      <w:r w:rsidR="001E07F1">
        <w:rPr>
          <w:rFonts w:ascii="Times New Roman" w:hAnsi="Times New Roman" w:cs="Times New Roman"/>
          <w:lang w:val="en-CA"/>
        </w:rPr>
        <w:t>, targeting and universalism,</w:t>
      </w:r>
      <w:r w:rsidR="002D39D6">
        <w:rPr>
          <w:rFonts w:ascii="Times New Roman" w:hAnsi="Times New Roman" w:cs="Times New Roman"/>
          <w:lang w:val="en-CA"/>
        </w:rPr>
        <w:t xml:space="preserve"> </w:t>
      </w:r>
      <w:r w:rsidR="00831471">
        <w:rPr>
          <w:rFonts w:ascii="Times New Roman" w:hAnsi="Times New Roman" w:cs="Times New Roman"/>
          <w:lang w:val="en-CA"/>
        </w:rPr>
        <w:t>constitut</w:t>
      </w:r>
      <w:r w:rsidR="002D39D6">
        <w:rPr>
          <w:rFonts w:ascii="Times New Roman" w:hAnsi="Times New Roman" w:cs="Times New Roman"/>
          <w:lang w:val="en-CA"/>
        </w:rPr>
        <w:t xml:space="preserve">e </w:t>
      </w:r>
      <w:r w:rsidR="00831471">
        <w:rPr>
          <w:rFonts w:ascii="Times New Roman" w:hAnsi="Times New Roman" w:cs="Times New Roman"/>
          <w:lang w:val="en-CA"/>
        </w:rPr>
        <w:t>the two</w:t>
      </w:r>
      <w:r w:rsidR="002D39D6">
        <w:rPr>
          <w:rFonts w:ascii="Times New Roman" w:hAnsi="Times New Roman" w:cs="Times New Roman"/>
          <w:lang w:val="en-CA"/>
        </w:rPr>
        <w:t xml:space="preserve"> </w:t>
      </w:r>
      <w:r w:rsidR="006A7BF6">
        <w:rPr>
          <w:rFonts w:ascii="Times New Roman" w:hAnsi="Times New Roman" w:cs="Times New Roman"/>
          <w:lang w:val="en-CA"/>
        </w:rPr>
        <w:t xml:space="preserve">ends of a single opposition. </w:t>
      </w:r>
      <w:r w:rsidR="00C56AF4">
        <w:rPr>
          <w:rFonts w:ascii="Times New Roman" w:hAnsi="Times New Roman" w:cs="Times New Roman"/>
          <w:lang w:val="en-CA"/>
        </w:rPr>
        <w:t>Targeting</w:t>
      </w:r>
      <w:r w:rsidR="00C2687D">
        <w:rPr>
          <w:rFonts w:ascii="Times New Roman" w:hAnsi="Times New Roman" w:cs="Times New Roman"/>
          <w:lang w:val="en-CA"/>
        </w:rPr>
        <w:t xml:space="preserve"> within universalism </w:t>
      </w:r>
      <w:r w:rsidR="00C56AF4">
        <w:rPr>
          <w:rFonts w:ascii="Times New Roman" w:hAnsi="Times New Roman" w:cs="Times New Roman"/>
          <w:lang w:val="en-CA"/>
        </w:rPr>
        <w:t>merely</w:t>
      </w:r>
      <w:r w:rsidR="00C2687D">
        <w:rPr>
          <w:rFonts w:ascii="Times New Roman" w:hAnsi="Times New Roman" w:cs="Times New Roman"/>
          <w:lang w:val="en-CA"/>
        </w:rPr>
        <w:t xml:space="preserve"> appear</w:t>
      </w:r>
      <w:r w:rsidR="00C56AF4">
        <w:rPr>
          <w:rFonts w:ascii="Times New Roman" w:hAnsi="Times New Roman" w:cs="Times New Roman"/>
          <w:lang w:val="en-CA"/>
        </w:rPr>
        <w:t>s</w:t>
      </w:r>
      <w:r w:rsidR="00005425">
        <w:rPr>
          <w:rFonts w:ascii="Times New Roman" w:hAnsi="Times New Roman" w:cs="Times New Roman"/>
          <w:lang w:val="en-CA"/>
        </w:rPr>
        <w:t xml:space="preserve"> as a position</w:t>
      </w:r>
      <w:r w:rsidR="00C2687D">
        <w:rPr>
          <w:rFonts w:ascii="Times New Roman" w:hAnsi="Times New Roman" w:cs="Times New Roman"/>
          <w:lang w:val="en-CA"/>
        </w:rPr>
        <w:t xml:space="preserve"> somewhere </w:t>
      </w:r>
      <w:r w:rsidR="00005425">
        <w:rPr>
          <w:rFonts w:ascii="Times New Roman" w:hAnsi="Times New Roman" w:cs="Times New Roman"/>
          <w:lang w:val="en-CA"/>
        </w:rPr>
        <w:t>around</w:t>
      </w:r>
      <w:r w:rsidR="00C2687D">
        <w:rPr>
          <w:rFonts w:ascii="Times New Roman" w:hAnsi="Times New Roman" w:cs="Times New Roman"/>
          <w:lang w:val="en-CA"/>
        </w:rPr>
        <w:t xml:space="preserve"> the middle, when</w:t>
      </w:r>
      <w:r w:rsidR="00D221B8">
        <w:rPr>
          <w:rFonts w:ascii="Times New Roman" w:hAnsi="Times New Roman" w:cs="Times New Roman"/>
          <w:lang w:val="en-CA"/>
        </w:rPr>
        <w:t xml:space="preserve"> enough but not all programs are provided on a universal logic</w:t>
      </w:r>
      <w:r w:rsidR="00F10B56">
        <w:rPr>
          <w:rFonts w:ascii="Times New Roman" w:hAnsi="Times New Roman" w:cs="Times New Roman"/>
          <w:lang w:val="en-CA"/>
        </w:rPr>
        <w:t xml:space="preserve"> (Kenworthy, 2011; Marx et al., 2016).</w:t>
      </w:r>
    </w:p>
    <w:p w14:paraId="1368BC39" w14:textId="77777777" w:rsidR="00745491" w:rsidRDefault="002B7041" w:rsidP="007406C2">
      <w:pPr>
        <w:spacing w:line="480" w:lineRule="auto"/>
        <w:jc w:val="both"/>
        <w:rPr>
          <w:rFonts w:ascii="Times New Roman" w:hAnsi="Times New Roman" w:cs="Times New Roman"/>
          <w:lang w:val="en-CA"/>
        </w:rPr>
      </w:pPr>
      <w:r>
        <w:rPr>
          <w:rFonts w:ascii="Times New Roman" w:hAnsi="Times New Roman" w:cs="Times New Roman"/>
          <w:lang w:val="en-CA"/>
        </w:rPr>
        <w:tab/>
      </w:r>
      <w:r w:rsidR="0032481D">
        <w:rPr>
          <w:rFonts w:ascii="Times New Roman" w:hAnsi="Times New Roman" w:cs="Times New Roman"/>
          <w:lang w:val="en-CA"/>
        </w:rPr>
        <w:t>An</w:t>
      </w:r>
      <w:r>
        <w:rPr>
          <w:rFonts w:ascii="Times New Roman" w:hAnsi="Times New Roman" w:cs="Times New Roman"/>
          <w:lang w:val="en-CA"/>
        </w:rPr>
        <w:t xml:space="preserve"> alternative </w:t>
      </w:r>
      <w:r w:rsidR="00AF0C23">
        <w:rPr>
          <w:rFonts w:ascii="Times New Roman" w:hAnsi="Times New Roman" w:cs="Times New Roman"/>
          <w:lang w:val="en-CA"/>
        </w:rPr>
        <w:t>to this empirical strategy</w:t>
      </w:r>
      <w:r w:rsidR="00BE7807">
        <w:rPr>
          <w:rFonts w:ascii="Times New Roman" w:hAnsi="Times New Roman" w:cs="Times New Roman"/>
          <w:lang w:val="en-CA"/>
        </w:rPr>
        <w:t xml:space="preserve"> is to </w:t>
      </w:r>
      <w:r w:rsidR="00D71C4A">
        <w:rPr>
          <w:rFonts w:ascii="Times New Roman" w:hAnsi="Times New Roman" w:cs="Times New Roman"/>
          <w:lang w:val="en-CA"/>
        </w:rPr>
        <w:t>associate</w:t>
      </w:r>
      <w:r w:rsidR="00D125F7">
        <w:rPr>
          <w:rFonts w:ascii="Times New Roman" w:hAnsi="Times New Roman" w:cs="Times New Roman"/>
          <w:lang w:val="en-CA"/>
        </w:rPr>
        <w:t xml:space="preserve"> targeting and</w:t>
      </w:r>
      <w:r w:rsidR="00D71C4A">
        <w:rPr>
          <w:rFonts w:ascii="Times New Roman" w:hAnsi="Times New Roman" w:cs="Times New Roman"/>
          <w:lang w:val="en-CA"/>
        </w:rPr>
        <w:t xml:space="preserve"> universalism</w:t>
      </w:r>
      <w:r w:rsidR="00BE7807">
        <w:rPr>
          <w:rFonts w:ascii="Times New Roman" w:hAnsi="Times New Roman" w:cs="Times New Roman"/>
          <w:lang w:val="en-CA"/>
        </w:rPr>
        <w:t xml:space="preserve"> </w:t>
      </w:r>
      <w:r w:rsidR="0032481D">
        <w:rPr>
          <w:rFonts w:ascii="Times New Roman" w:hAnsi="Times New Roman" w:cs="Times New Roman"/>
          <w:lang w:val="en-CA"/>
        </w:rPr>
        <w:t>with</w:t>
      </w:r>
      <w:r w:rsidR="00BE7807">
        <w:rPr>
          <w:rFonts w:ascii="Times New Roman" w:hAnsi="Times New Roman" w:cs="Times New Roman"/>
          <w:lang w:val="en-CA"/>
        </w:rPr>
        <w:t xml:space="preserve"> policy intentions</w:t>
      </w:r>
      <w:r w:rsidR="007D4C61">
        <w:rPr>
          <w:rFonts w:ascii="Times New Roman" w:hAnsi="Times New Roman" w:cs="Times New Roman"/>
          <w:lang w:val="en-CA"/>
        </w:rPr>
        <w:t xml:space="preserve"> rather than with outcomes.</w:t>
      </w:r>
      <w:r w:rsidR="00441776">
        <w:rPr>
          <w:rFonts w:ascii="Times New Roman" w:hAnsi="Times New Roman" w:cs="Times New Roman"/>
          <w:lang w:val="en-CA"/>
        </w:rPr>
        <w:t xml:space="preserve"> In a recent article, </w:t>
      </w:r>
      <w:r w:rsidR="00D125F7">
        <w:rPr>
          <w:rFonts w:ascii="Times New Roman" w:hAnsi="Times New Roman" w:cs="Times New Roman"/>
          <w:lang w:val="en-CA"/>
        </w:rPr>
        <w:t>Sarah Marchal and Wim Van Lancker</w:t>
      </w:r>
      <w:r w:rsidR="008C406C">
        <w:rPr>
          <w:rFonts w:ascii="Times New Roman" w:hAnsi="Times New Roman" w:cs="Times New Roman"/>
          <w:lang w:val="en-CA"/>
        </w:rPr>
        <w:t xml:space="preserve"> define targeting </w:t>
      </w:r>
      <w:r w:rsidR="00F636BD">
        <w:rPr>
          <w:rFonts w:ascii="Times New Roman" w:hAnsi="Times New Roman" w:cs="Times New Roman"/>
          <w:lang w:val="en-CA"/>
        </w:rPr>
        <w:t xml:space="preserve">as “the extent </w:t>
      </w:r>
      <w:r w:rsidR="00AE590A">
        <w:rPr>
          <w:rFonts w:ascii="Times New Roman" w:hAnsi="Times New Roman" w:cs="Times New Roman"/>
          <w:lang w:val="en-CA"/>
        </w:rPr>
        <w:t xml:space="preserve">to which benefits are designed to be higher and lower for people with higher or lower incomes” and use the family model approach to assess the </w:t>
      </w:r>
      <w:r w:rsidR="0012112B">
        <w:rPr>
          <w:rFonts w:ascii="Times New Roman" w:hAnsi="Times New Roman" w:cs="Times New Roman"/>
          <w:lang w:val="en-CA"/>
        </w:rPr>
        <w:t>design</w:t>
      </w:r>
      <w:r w:rsidR="004810DA">
        <w:rPr>
          <w:rFonts w:ascii="Times New Roman" w:hAnsi="Times New Roman" w:cs="Times New Roman"/>
          <w:lang w:val="en-CA"/>
        </w:rPr>
        <w:t>, and not the outcome,</w:t>
      </w:r>
      <w:r w:rsidR="0012112B">
        <w:rPr>
          <w:rFonts w:ascii="Times New Roman" w:hAnsi="Times New Roman" w:cs="Times New Roman"/>
          <w:lang w:val="en-CA"/>
        </w:rPr>
        <w:t xml:space="preserve"> of specific programs (2018).</w:t>
      </w:r>
      <w:r w:rsidR="00336E26">
        <w:rPr>
          <w:rFonts w:ascii="Times New Roman" w:hAnsi="Times New Roman" w:cs="Times New Roman"/>
          <w:lang w:val="en-CA"/>
        </w:rPr>
        <w:t xml:space="preserve"> </w:t>
      </w:r>
      <w:r w:rsidR="004A3C07">
        <w:rPr>
          <w:rFonts w:ascii="Times New Roman" w:hAnsi="Times New Roman" w:cs="Times New Roman"/>
          <w:lang w:val="en-CA"/>
        </w:rPr>
        <w:t>This</w:t>
      </w:r>
      <w:r w:rsidR="00573847">
        <w:rPr>
          <w:rFonts w:ascii="Times New Roman" w:hAnsi="Times New Roman" w:cs="Times New Roman"/>
          <w:lang w:val="en-CA"/>
        </w:rPr>
        <w:t xml:space="preserve"> appr</w:t>
      </w:r>
      <w:r w:rsidR="001C3E8E">
        <w:rPr>
          <w:rFonts w:ascii="Times New Roman" w:hAnsi="Times New Roman" w:cs="Times New Roman"/>
          <w:lang w:val="en-CA"/>
        </w:rPr>
        <w:t xml:space="preserve">oach </w:t>
      </w:r>
      <w:r w:rsidR="004A3C07">
        <w:rPr>
          <w:rFonts w:ascii="Times New Roman" w:hAnsi="Times New Roman" w:cs="Times New Roman"/>
          <w:lang w:val="en-CA"/>
        </w:rPr>
        <w:t>also</w:t>
      </w:r>
      <w:r w:rsidR="0055447B">
        <w:rPr>
          <w:rFonts w:ascii="Times New Roman" w:hAnsi="Times New Roman" w:cs="Times New Roman"/>
          <w:lang w:val="en-CA"/>
        </w:rPr>
        <w:t xml:space="preserve"> uses concentration coefficients</w:t>
      </w:r>
      <w:r w:rsidR="004A3C07">
        <w:rPr>
          <w:rFonts w:ascii="Times New Roman" w:hAnsi="Times New Roman" w:cs="Times New Roman"/>
          <w:lang w:val="en-CA"/>
        </w:rPr>
        <w:t>, but it does so</w:t>
      </w:r>
      <w:r w:rsidR="0055447B">
        <w:rPr>
          <w:rFonts w:ascii="Times New Roman" w:hAnsi="Times New Roman" w:cs="Times New Roman"/>
          <w:lang w:val="en-CA"/>
        </w:rPr>
        <w:t xml:space="preserve"> to assess the intended</w:t>
      </w:r>
      <w:r w:rsidR="005F2B4C">
        <w:rPr>
          <w:rFonts w:ascii="Times New Roman" w:hAnsi="Times New Roman" w:cs="Times New Roman"/>
          <w:lang w:val="en-CA"/>
        </w:rPr>
        <w:t xml:space="preserve"> rather </w:t>
      </w:r>
      <w:r w:rsidR="005F2B4C">
        <w:rPr>
          <w:rFonts w:ascii="Times New Roman" w:hAnsi="Times New Roman" w:cs="Times New Roman"/>
          <w:lang w:val="en-CA"/>
        </w:rPr>
        <w:lastRenderedPageBreak/>
        <w:t>than</w:t>
      </w:r>
      <w:r w:rsidR="008B46E6">
        <w:rPr>
          <w:rFonts w:ascii="Times New Roman" w:hAnsi="Times New Roman" w:cs="Times New Roman"/>
          <w:lang w:val="en-CA"/>
        </w:rPr>
        <w:t xml:space="preserve"> the observed</w:t>
      </w:r>
      <w:r w:rsidR="0055447B">
        <w:rPr>
          <w:rFonts w:ascii="Times New Roman" w:hAnsi="Times New Roman" w:cs="Times New Roman"/>
          <w:lang w:val="en-CA"/>
        </w:rPr>
        <w:t xml:space="preserve"> distribution</w:t>
      </w:r>
      <w:r w:rsidR="004A3C07">
        <w:rPr>
          <w:rFonts w:ascii="Times New Roman" w:hAnsi="Times New Roman" w:cs="Times New Roman"/>
          <w:lang w:val="en-CA"/>
        </w:rPr>
        <w:t xml:space="preserve"> of a</w:t>
      </w:r>
      <w:r w:rsidR="001D456C">
        <w:rPr>
          <w:rFonts w:ascii="Times New Roman" w:hAnsi="Times New Roman" w:cs="Times New Roman"/>
          <w:lang w:val="en-CA"/>
        </w:rPr>
        <w:t xml:space="preserve"> given</w:t>
      </w:r>
      <w:r w:rsidR="004A3C07">
        <w:rPr>
          <w:rFonts w:ascii="Times New Roman" w:hAnsi="Times New Roman" w:cs="Times New Roman"/>
          <w:lang w:val="en-CA"/>
        </w:rPr>
        <w:t xml:space="preserve"> transfer</w:t>
      </w:r>
      <w:r w:rsidR="00DC0B52">
        <w:rPr>
          <w:rFonts w:ascii="Times New Roman" w:hAnsi="Times New Roman" w:cs="Times New Roman"/>
          <w:lang w:val="en-CA"/>
        </w:rPr>
        <w:t>.</w:t>
      </w:r>
      <w:r w:rsidR="00345031">
        <w:rPr>
          <w:rFonts w:ascii="Times New Roman" w:hAnsi="Times New Roman" w:cs="Times New Roman"/>
          <w:lang w:val="en-CA"/>
        </w:rPr>
        <w:t xml:space="preserve"> As the authors recognize</w:t>
      </w:r>
      <w:r w:rsidR="0083212C">
        <w:rPr>
          <w:rFonts w:ascii="Times New Roman" w:hAnsi="Times New Roman" w:cs="Times New Roman"/>
          <w:lang w:val="en-CA"/>
        </w:rPr>
        <w:t>, this</w:t>
      </w:r>
      <w:r w:rsidR="00F518E2">
        <w:rPr>
          <w:rFonts w:ascii="Times New Roman" w:hAnsi="Times New Roman" w:cs="Times New Roman"/>
          <w:lang w:val="en-CA"/>
        </w:rPr>
        <w:t xml:space="preserve"> </w:t>
      </w:r>
      <w:r w:rsidR="0027783E">
        <w:rPr>
          <w:rFonts w:ascii="Times New Roman" w:hAnsi="Times New Roman" w:cs="Times New Roman"/>
          <w:lang w:val="en-CA"/>
        </w:rPr>
        <w:t>perspective</w:t>
      </w:r>
      <w:r w:rsidR="0083212C">
        <w:rPr>
          <w:rFonts w:ascii="Times New Roman" w:hAnsi="Times New Roman" w:cs="Times New Roman"/>
          <w:lang w:val="en-CA"/>
        </w:rPr>
        <w:t xml:space="preserve"> usefully</w:t>
      </w:r>
      <w:r w:rsidR="00F518E2">
        <w:rPr>
          <w:rFonts w:ascii="Times New Roman" w:hAnsi="Times New Roman" w:cs="Times New Roman"/>
          <w:lang w:val="en-CA"/>
        </w:rPr>
        <w:t xml:space="preserve"> disentangles intentions and outcomes</w:t>
      </w:r>
      <w:r w:rsidR="004D1E47">
        <w:rPr>
          <w:rFonts w:ascii="Times New Roman" w:hAnsi="Times New Roman" w:cs="Times New Roman"/>
          <w:lang w:val="en-CA"/>
        </w:rPr>
        <w:t xml:space="preserve"> and better allows to identify strategies of targeting within universalism,</w:t>
      </w:r>
      <w:r w:rsidR="000D6903">
        <w:rPr>
          <w:rFonts w:ascii="Times New Roman" w:hAnsi="Times New Roman" w:cs="Times New Roman"/>
          <w:lang w:val="en-CA"/>
        </w:rPr>
        <w:t xml:space="preserve"> but it does </w:t>
      </w:r>
      <w:r w:rsidR="00002B11">
        <w:rPr>
          <w:rFonts w:ascii="Times New Roman" w:hAnsi="Times New Roman" w:cs="Times New Roman"/>
          <w:lang w:val="en-CA"/>
        </w:rPr>
        <w:t xml:space="preserve">so at the cost of </w:t>
      </w:r>
      <w:r w:rsidR="00504CAF">
        <w:rPr>
          <w:rFonts w:ascii="Times New Roman" w:hAnsi="Times New Roman" w:cs="Times New Roman"/>
          <w:lang w:val="en-CA"/>
        </w:rPr>
        <w:t>leaving aside</w:t>
      </w:r>
      <w:r w:rsidR="006032CE">
        <w:rPr>
          <w:rFonts w:ascii="Times New Roman" w:hAnsi="Times New Roman" w:cs="Times New Roman"/>
          <w:lang w:val="en-CA"/>
        </w:rPr>
        <w:t xml:space="preserve"> important information on </w:t>
      </w:r>
      <w:r w:rsidR="00E51620">
        <w:rPr>
          <w:rFonts w:ascii="Times New Roman" w:hAnsi="Times New Roman" w:cs="Times New Roman"/>
          <w:lang w:val="en-CA"/>
        </w:rPr>
        <w:t xml:space="preserve">the actual composition of households or on the </w:t>
      </w:r>
      <w:r w:rsidR="008127FD">
        <w:rPr>
          <w:rFonts w:ascii="Times New Roman" w:hAnsi="Times New Roman" w:cs="Times New Roman"/>
          <w:lang w:val="en-CA"/>
        </w:rPr>
        <w:t>generosity of</w:t>
      </w:r>
      <w:r w:rsidR="001D456C">
        <w:rPr>
          <w:rFonts w:ascii="Times New Roman" w:hAnsi="Times New Roman" w:cs="Times New Roman"/>
          <w:lang w:val="en-CA"/>
        </w:rPr>
        <w:t xml:space="preserve"> a country’s</w:t>
      </w:r>
      <w:r w:rsidR="008127FD">
        <w:rPr>
          <w:rFonts w:ascii="Times New Roman" w:hAnsi="Times New Roman" w:cs="Times New Roman"/>
          <w:lang w:val="en-CA"/>
        </w:rPr>
        <w:t xml:space="preserve"> cash transfers.</w:t>
      </w:r>
      <w:r w:rsidR="00DC43C7">
        <w:rPr>
          <w:rFonts w:ascii="Times New Roman" w:hAnsi="Times New Roman" w:cs="Times New Roman"/>
          <w:lang w:val="en-CA"/>
        </w:rPr>
        <w:t xml:space="preserve"> We can see whether</w:t>
      </w:r>
      <w:r w:rsidR="002458DB">
        <w:rPr>
          <w:rFonts w:ascii="Times New Roman" w:hAnsi="Times New Roman" w:cs="Times New Roman"/>
          <w:lang w:val="en-CA"/>
        </w:rPr>
        <w:t xml:space="preserve"> the design of</w:t>
      </w:r>
      <w:r w:rsidR="00DC43C7">
        <w:rPr>
          <w:rFonts w:ascii="Times New Roman" w:hAnsi="Times New Roman" w:cs="Times New Roman"/>
          <w:lang w:val="en-CA"/>
        </w:rPr>
        <w:t xml:space="preserve"> </w:t>
      </w:r>
      <w:r w:rsidR="001D456C">
        <w:rPr>
          <w:rFonts w:ascii="Times New Roman" w:hAnsi="Times New Roman" w:cs="Times New Roman"/>
          <w:lang w:val="en-CA"/>
        </w:rPr>
        <w:t>a benefit</w:t>
      </w:r>
      <w:r w:rsidR="002458DB">
        <w:rPr>
          <w:rFonts w:ascii="Times New Roman" w:hAnsi="Times New Roman" w:cs="Times New Roman"/>
          <w:lang w:val="en-CA"/>
        </w:rPr>
        <w:t xml:space="preserve"> is targeted or not, but </w:t>
      </w:r>
      <w:r w:rsidR="00807986">
        <w:rPr>
          <w:rFonts w:ascii="Times New Roman" w:hAnsi="Times New Roman" w:cs="Times New Roman"/>
          <w:lang w:val="en-CA"/>
        </w:rPr>
        <w:t>can</w:t>
      </w:r>
      <w:r w:rsidR="002458DB">
        <w:rPr>
          <w:rFonts w:ascii="Times New Roman" w:hAnsi="Times New Roman" w:cs="Times New Roman"/>
          <w:lang w:val="en-CA"/>
        </w:rPr>
        <w:t>not</w:t>
      </w:r>
      <w:r w:rsidR="00807986">
        <w:rPr>
          <w:rFonts w:ascii="Times New Roman" w:hAnsi="Times New Roman" w:cs="Times New Roman"/>
          <w:lang w:val="en-CA"/>
        </w:rPr>
        <w:t xml:space="preserve"> identify</w:t>
      </w:r>
      <w:r w:rsidR="002458DB">
        <w:rPr>
          <w:rFonts w:ascii="Times New Roman" w:hAnsi="Times New Roman" w:cs="Times New Roman"/>
          <w:lang w:val="en-CA"/>
        </w:rPr>
        <w:t xml:space="preserve"> </w:t>
      </w:r>
      <w:r w:rsidR="00EE390C">
        <w:rPr>
          <w:rFonts w:ascii="Times New Roman" w:hAnsi="Times New Roman" w:cs="Times New Roman"/>
          <w:lang w:val="en-CA"/>
        </w:rPr>
        <w:t>the relative</w:t>
      </w:r>
      <w:r w:rsidR="002458DB">
        <w:rPr>
          <w:rFonts w:ascii="Times New Roman" w:hAnsi="Times New Roman" w:cs="Times New Roman"/>
          <w:lang w:val="en-CA"/>
        </w:rPr>
        <w:t xml:space="preserve"> importan</w:t>
      </w:r>
      <w:r w:rsidR="00EE390C">
        <w:rPr>
          <w:rFonts w:ascii="Times New Roman" w:hAnsi="Times New Roman" w:cs="Times New Roman"/>
          <w:lang w:val="en-CA"/>
        </w:rPr>
        <w:t>ce</w:t>
      </w:r>
      <w:r w:rsidR="002458DB">
        <w:rPr>
          <w:rFonts w:ascii="Times New Roman" w:hAnsi="Times New Roman" w:cs="Times New Roman"/>
          <w:lang w:val="en-CA"/>
        </w:rPr>
        <w:t xml:space="preserve"> </w:t>
      </w:r>
      <w:r w:rsidR="00EE390C">
        <w:rPr>
          <w:rFonts w:ascii="Times New Roman" w:hAnsi="Times New Roman" w:cs="Times New Roman"/>
          <w:lang w:val="en-CA"/>
        </w:rPr>
        <w:t>of</w:t>
      </w:r>
      <w:r w:rsidR="002458DB">
        <w:rPr>
          <w:rFonts w:ascii="Times New Roman" w:hAnsi="Times New Roman" w:cs="Times New Roman"/>
          <w:lang w:val="en-CA"/>
        </w:rPr>
        <w:t xml:space="preserve"> targeting</w:t>
      </w:r>
      <w:r w:rsidR="007C0F62">
        <w:rPr>
          <w:rFonts w:ascii="Times New Roman" w:hAnsi="Times New Roman" w:cs="Times New Roman"/>
          <w:lang w:val="en-CA"/>
        </w:rPr>
        <w:t xml:space="preserve"> or universality</w:t>
      </w:r>
      <w:r w:rsidR="002458DB">
        <w:rPr>
          <w:rFonts w:ascii="Times New Roman" w:hAnsi="Times New Roman" w:cs="Times New Roman"/>
          <w:lang w:val="en-CA"/>
        </w:rPr>
        <w:t xml:space="preserve"> in </w:t>
      </w:r>
      <w:r w:rsidR="007C0F62">
        <w:rPr>
          <w:rFonts w:ascii="Times New Roman" w:hAnsi="Times New Roman" w:cs="Times New Roman"/>
          <w:lang w:val="en-CA"/>
        </w:rPr>
        <w:t>the overall distribution of cash transfers.</w:t>
      </w:r>
    </w:p>
    <w:p w14:paraId="5FA94400" w14:textId="0F9A27EB" w:rsidR="00037C08" w:rsidRDefault="00745491" w:rsidP="00FC0208">
      <w:pPr>
        <w:spacing w:line="480" w:lineRule="auto"/>
        <w:jc w:val="both"/>
        <w:rPr>
          <w:rFonts w:ascii="Times New Roman" w:hAnsi="Times New Roman" w:cs="Times New Roman"/>
          <w:lang w:val="en-CA"/>
        </w:rPr>
      </w:pPr>
      <w:r>
        <w:rPr>
          <w:rFonts w:ascii="Times New Roman" w:hAnsi="Times New Roman" w:cs="Times New Roman"/>
          <w:lang w:val="en-CA"/>
        </w:rPr>
        <w:tab/>
      </w:r>
      <w:r w:rsidR="00037C08" w:rsidRPr="007B7233">
        <w:rPr>
          <w:rFonts w:ascii="Times New Roman" w:hAnsi="Times New Roman" w:cs="Times New Roman"/>
          <w:lang w:val="en-CA"/>
        </w:rPr>
        <w:t>In an enlightening discussion of universalism, Anneli Anttonen and Jorma Sipilä contrast the British tradition, with its emphasis on flat-rate benefits</w:t>
      </w:r>
      <w:r w:rsidR="001D456C">
        <w:rPr>
          <w:rFonts w:ascii="Times New Roman" w:hAnsi="Times New Roman" w:cs="Times New Roman"/>
          <w:lang w:val="en-CA"/>
        </w:rPr>
        <w:t>,</w:t>
      </w:r>
      <w:r w:rsidR="00037C08" w:rsidRPr="007B7233">
        <w:rPr>
          <w:rFonts w:ascii="Times New Roman" w:hAnsi="Times New Roman" w:cs="Times New Roman"/>
          <w:lang w:val="en-CA"/>
        </w:rPr>
        <w:t xml:space="preserve"> and the Nordic approach, more focused on inclusion and social rights. In the Nordic perspective, “as long as the same system includes everyone, it is universal, even if benefits are earnings-related” (Anttonen and Sipilä</w:t>
      </w:r>
      <w:r w:rsidR="00D41F4A">
        <w:rPr>
          <w:rFonts w:ascii="Times New Roman" w:hAnsi="Times New Roman" w:cs="Times New Roman"/>
          <w:lang w:val="en-CA"/>
        </w:rPr>
        <w:t>,</w:t>
      </w:r>
      <w:r w:rsidR="00037C08" w:rsidRPr="007B7233">
        <w:rPr>
          <w:rFonts w:ascii="Times New Roman" w:hAnsi="Times New Roman" w:cs="Times New Roman"/>
          <w:lang w:val="en-CA"/>
        </w:rPr>
        <w:t xml:space="preserve"> 2012: 34). The proper opposite of universalism, from this standpoint, is not targeting but residualism. Whereas universalism “sees the public welfare services as normal, ‘first line’ functions of modern industrial society,” residualism considers</w:t>
      </w:r>
      <w:r w:rsidR="00781094">
        <w:rPr>
          <w:rFonts w:ascii="Times New Roman" w:hAnsi="Times New Roman" w:cs="Times New Roman"/>
          <w:lang w:val="en-CA"/>
        </w:rPr>
        <w:t xml:space="preserve"> that</w:t>
      </w:r>
      <w:r w:rsidR="00037C08" w:rsidRPr="007B7233">
        <w:rPr>
          <w:rFonts w:ascii="Times New Roman" w:hAnsi="Times New Roman" w:cs="Times New Roman"/>
          <w:lang w:val="en-CA"/>
        </w:rPr>
        <w:t xml:space="preserve"> they “should come into play only when the so-called ‘normal’ institutions of supply — the family and the market — break down” (Anttonen </w:t>
      </w:r>
      <w:r w:rsidR="00037C08" w:rsidRPr="00262EDF">
        <w:rPr>
          <w:rFonts w:ascii="Times New Roman" w:hAnsi="Times New Roman" w:cs="Times New Roman"/>
          <w:lang w:val="en-CA"/>
        </w:rPr>
        <w:t>et al.</w:t>
      </w:r>
      <w:r w:rsidR="00C06426">
        <w:rPr>
          <w:rFonts w:ascii="Times New Roman" w:hAnsi="Times New Roman" w:cs="Times New Roman"/>
          <w:lang w:val="en-CA"/>
        </w:rPr>
        <w:t>,</w:t>
      </w:r>
      <w:r w:rsidR="00037C08" w:rsidRPr="00C06426">
        <w:rPr>
          <w:rFonts w:ascii="Times New Roman" w:hAnsi="Times New Roman" w:cs="Times New Roman"/>
          <w:lang w:val="en-CA"/>
        </w:rPr>
        <w:t xml:space="preserve"> </w:t>
      </w:r>
      <w:r w:rsidR="00037C08" w:rsidRPr="007B7233">
        <w:rPr>
          <w:rFonts w:ascii="Times New Roman" w:hAnsi="Times New Roman" w:cs="Times New Roman"/>
          <w:lang w:val="en-CA"/>
        </w:rPr>
        <w:t xml:space="preserve">2012: 5). Universal welfare states may incorporate a pro-poor orientation in their cash transfers, but they remain universal insofar as “all people in need can use the same system” (Anttonen </w:t>
      </w:r>
      <w:r w:rsidR="00037C08" w:rsidRPr="00262EDF">
        <w:rPr>
          <w:rFonts w:ascii="Times New Roman" w:hAnsi="Times New Roman" w:cs="Times New Roman"/>
          <w:lang w:val="en-CA"/>
        </w:rPr>
        <w:t>et al.</w:t>
      </w:r>
      <w:r w:rsidR="00C06426">
        <w:rPr>
          <w:rFonts w:ascii="Times New Roman" w:hAnsi="Times New Roman" w:cs="Times New Roman"/>
          <w:lang w:val="en-CA"/>
        </w:rPr>
        <w:t>,</w:t>
      </w:r>
      <w:r w:rsidR="00037C08" w:rsidRPr="007B7233">
        <w:rPr>
          <w:rFonts w:ascii="Times New Roman" w:hAnsi="Times New Roman" w:cs="Times New Roman"/>
          <w:lang w:val="en-CA"/>
        </w:rPr>
        <w:t xml:space="preserve"> 2012: 6). The key contrast, in this understanding of universalism, is not measured by the concentration of transfers but by the recognition or not of social rights that prevail over family or market mechanisms.</w:t>
      </w:r>
    </w:p>
    <w:p w14:paraId="1AB80DE5" w14:textId="27FA1E17" w:rsidR="008D7671" w:rsidRPr="007B7233" w:rsidRDefault="008D7671" w:rsidP="00FC0208">
      <w:pPr>
        <w:spacing w:line="480" w:lineRule="auto"/>
        <w:jc w:val="both"/>
        <w:rPr>
          <w:rFonts w:ascii="Times New Roman" w:hAnsi="Times New Roman" w:cs="Times New Roman"/>
          <w:lang w:val="en-CA"/>
        </w:rPr>
      </w:pPr>
      <w:r>
        <w:rPr>
          <w:rFonts w:ascii="Times New Roman" w:hAnsi="Times New Roman" w:cs="Times New Roman"/>
          <w:lang w:val="en-CA"/>
        </w:rPr>
        <w:tab/>
      </w:r>
      <w:r w:rsidR="002F22EF">
        <w:rPr>
          <w:rFonts w:ascii="Times New Roman" w:hAnsi="Times New Roman" w:cs="Times New Roman"/>
          <w:lang w:val="en-CA"/>
        </w:rPr>
        <w:t xml:space="preserve">In a recent article on redistribution, </w:t>
      </w:r>
      <w:r>
        <w:rPr>
          <w:rFonts w:ascii="Times New Roman" w:hAnsi="Times New Roman" w:cs="Times New Roman"/>
          <w:lang w:val="en-CA"/>
        </w:rPr>
        <w:t xml:space="preserve">Brady and Bostic </w:t>
      </w:r>
      <w:r w:rsidR="002F22EF">
        <w:rPr>
          <w:rFonts w:ascii="Times New Roman" w:hAnsi="Times New Roman" w:cs="Times New Roman"/>
          <w:lang w:val="en-CA"/>
        </w:rPr>
        <w:t xml:space="preserve">offer an empirical </w:t>
      </w:r>
      <w:r>
        <w:rPr>
          <w:rFonts w:ascii="Times New Roman" w:hAnsi="Times New Roman" w:cs="Times New Roman"/>
          <w:lang w:val="en-CA"/>
        </w:rPr>
        <w:t>avenue</w:t>
      </w:r>
      <w:r w:rsidR="002F22EF">
        <w:rPr>
          <w:rFonts w:ascii="Times New Roman" w:hAnsi="Times New Roman" w:cs="Times New Roman"/>
          <w:lang w:val="en-CA"/>
        </w:rPr>
        <w:t xml:space="preserve"> to assess these concepts,</w:t>
      </w:r>
      <w:r>
        <w:rPr>
          <w:rFonts w:ascii="Times New Roman" w:hAnsi="Times New Roman" w:cs="Times New Roman"/>
          <w:lang w:val="en-CA"/>
        </w:rPr>
        <w:t xml:space="preserve"> with distinct measures that disentangle universalism from low-</w:t>
      </w:r>
      <w:r>
        <w:rPr>
          <w:rFonts w:ascii="Times New Roman" w:hAnsi="Times New Roman" w:cs="Times New Roman"/>
          <w:lang w:val="en-CA"/>
        </w:rPr>
        <w:lastRenderedPageBreak/>
        <w:t>income targeting (2015). Using Luxembourg Income Study data, they add to the usual concentration coefficients of transfers the inverse coefficient of variation in the absolute amount of transfers, taken as an indicator of the more or less universal character of social transfers.</w:t>
      </w:r>
      <w:r w:rsidR="002F22EF">
        <w:rPr>
          <w:rFonts w:ascii="Times New Roman" w:hAnsi="Times New Roman" w:cs="Times New Roman"/>
          <w:lang w:val="en-CA"/>
        </w:rPr>
        <w:t xml:space="preserve"> Intuitively, their indicator of universalism seems plausible, with Sweden at one end and Japan at the other. Its focus on transfers, however, leaves aside</w:t>
      </w:r>
      <w:r>
        <w:rPr>
          <w:rFonts w:ascii="Times New Roman" w:hAnsi="Times New Roman" w:cs="Times New Roman"/>
          <w:lang w:val="en-CA"/>
        </w:rPr>
        <w:t xml:space="preserve"> social services such as health care or day care, often seen as the linchpin of universalism</w:t>
      </w:r>
      <w:r w:rsidR="00FC0208">
        <w:rPr>
          <w:rFonts w:ascii="Times New Roman" w:hAnsi="Times New Roman" w:cs="Times New Roman"/>
          <w:lang w:val="en-CA"/>
        </w:rPr>
        <w:t>,</w:t>
      </w:r>
      <w:r w:rsidR="002F22EF">
        <w:rPr>
          <w:rFonts w:ascii="Times New Roman" w:hAnsi="Times New Roman" w:cs="Times New Roman"/>
          <w:lang w:val="en-CA"/>
        </w:rPr>
        <w:t xml:space="preserve"> and certainly major components of the social budget</w:t>
      </w:r>
      <w:r>
        <w:rPr>
          <w:rFonts w:ascii="Times New Roman" w:hAnsi="Times New Roman" w:cs="Times New Roman"/>
          <w:lang w:val="en-CA"/>
        </w:rPr>
        <w:t xml:space="preserve"> (Esping-Andersen and Myles, 2009: 653-55).</w:t>
      </w:r>
    </w:p>
    <w:p w14:paraId="7BA28AEA" w14:textId="2FA3A58E" w:rsidR="00037C08" w:rsidRDefault="00037C08" w:rsidP="00037C08">
      <w:pPr>
        <w:spacing w:line="480" w:lineRule="auto"/>
        <w:jc w:val="both"/>
        <w:rPr>
          <w:rFonts w:ascii="Times New Roman" w:hAnsi="Times New Roman" w:cs="Times New Roman"/>
          <w:shd w:val="clear" w:color="auto" w:fill="FFFFFF"/>
          <w:lang w:val="en-CA"/>
        </w:rPr>
      </w:pPr>
      <w:r w:rsidRPr="007B7233">
        <w:rPr>
          <w:rFonts w:ascii="Times New Roman" w:hAnsi="Times New Roman" w:cs="Times New Roman"/>
          <w:lang w:val="en-CA"/>
        </w:rPr>
        <w:tab/>
      </w:r>
      <w:r w:rsidRPr="007B7233">
        <w:rPr>
          <w:rFonts w:ascii="Times New Roman" w:hAnsi="Times New Roman" w:cs="Times New Roman"/>
          <w:shd w:val="clear" w:color="auto" w:fill="FFFFFF"/>
          <w:lang w:val="en-CA"/>
        </w:rPr>
        <w:t>The index of universalism</w:t>
      </w:r>
      <w:r w:rsidR="00A64595">
        <w:rPr>
          <w:rFonts w:ascii="Times New Roman" w:hAnsi="Times New Roman" w:cs="Times New Roman"/>
          <w:shd w:val="clear" w:color="auto" w:fill="FFFFFF"/>
          <w:lang w:val="en-CA"/>
        </w:rPr>
        <w:t xml:space="preserve"> we</w:t>
      </w:r>
      <w:r w:rsidRPr="007B7233">
        <w:rPr>
          <w:rFonts w:ascii="Times New Roman" w:hAnsi="Times New Roman" w:cs="Times New Roman"/>
          <w:shd w:val="clear" w:color="auto" w:fill="FFFFFF"/>
          <w:lang w:val="en-CA"/>
        </w:rPr>
        <w:t xml:space="preserve"> proposed </w:t>
      </w:r>
      <w:r w:rsidR="00A64595">
        <w:rPr>
          <w:rFonts w:ascii="Times New Roman" w:hAnsi="Times New Roman" w:cs="Times New Roman"/>
          <w:shd w:val="clear" w:color="auto" w:fill="FFFFFF"/>
          <w:lang w:val="en-CA"/>
        </w:rPr>
        <w:t>in an earlier article</w:t>
      </w:r>
      <w:r w:rsidRPr="007B7233">
        <w:rPr>
          <w:rFonts w:ascii="Times New Roman" w:hAnsi="Times New Roman" w:cs="Times New Roman"/>
          <w:shd w:val="clear" w:color="auto" w:fill="FFFFFF"/>
          <w:lang w:val="en-CA"/>
        </w:rPr>
        <w:t xml:space="preserve"> (</w:t>
      </w:r>
      <w:r w:rsidR="00A64595">
        <w:rPr>
          <w:rFonts w:ascii="Times New Roman" w:hAnsi="Times New Roman" w:cs="Times New Roman"/>
          <w:shd w:val="clear" w:color="auto" w:fill="FFFFFF"/>
          <w:lang w:val="en-CA"/>
        </w:rPr>
        <w:t xml:space="preserve">Jacques and Noël, </w:t>
      </w:r>
      <w:r w:rsidRPr="007B7233">
        <w:rPr>
          <w:rFonts w:ascii="Times New Roman" w:hAnsi="Times New Roman" w:cs="Times New Roman"/>
          <w:shd w:val="clear" w:color="auto" w:fill="FFFFFF"/>
          <w:lang w:val="en-CA"/>
        </w:rPr>
        <w:t xml:space="preserve">2018) </w:t>
      </w:r>
      <w:r w:rsidR="00C36965">
        <w:rPr>
          <w:rFonts w:ascii="Times New Roman" w:hAnsi="Times New Roman" w:cs="Times New Roman"/>
          <w:shd w:val="clear" w:color="auto" w:fill="FFFFFF"/>
          <w:lang w:val="en-CA"/>
        </w:rPr>
        <w:t>offers</w:t>
      </w:r>
      <w:r w:rsidR="002F22EF">
        <w:rPr>
          <w:rFonts w:ascii="Times New Roman" w:hAnsi="Times New Roman" w:cs="Times New Roman"/>
          <w:shd w:val="clear" w:color="auto" w:fill="FFFFFF"/>
          <w:lang w:val="en-CA"/>
        </w:rPr>
        <w:t xml:space="preserve"> an alternative avenue,</w:t>
      </w:r>
      <w:r w:rsidRPr="007B7233">
        <w:rPr>
          <w:rFonts w:ascii="Times New Roman" w:hAnsi="Times New Roman" w:cs="Times New Roman"/>
          <w:shd w:val="clear" w:color="auto" w:fill="FFFFFF"/>
          <w:lang w:val="en-CA"/>
        </w:rPr>
        <w:t xml:space="preserve"> consistent with </w:t>
      </w:r>
      <w:r w:rsidR="002F22EF">
        <w:rPr>
          <w:rFonts w:ascii="Times New Roman" w:hAnsi="Times New Roman" w:cs="Times New Roman"/>
          <w:shd w:val="clear" w:color="auto" w:fill="FFFFFF"/>
          <w:lang w:val="en-CA"/>
        </w:rPr>
        <w:t>a</w:t>
      </w:r>
      <w:r w:rsidR="002F22EF" w:rsidRPr="007B7233">
        <w:rPr>
          <w:rFonts w:ascii="Times New Roman" w:hAnsi="Times New Roman" w:cs="Times New Roman"/>
          <w:shd w:val="clear" w:color="auto" w:fill="FFFFFF"/>
          <w:lang w:val="en-CA"/>
        </w:rPr>
        <w:t xml:space="preserve"> </w:t>
      </w:r>
      <w:r w:rsidRPr="007B7233">
        <w:rPr>
          <w:rFonts w:ascii="Times New Roman" w:hAnsi="Times New Roman" w:cs="Times New Roman"/>
          <w:shd w:val="clear" w:color="auto" w:fill="FFFFFF"/>
          <w:lang w:val="en-CA"/>
        </w:rPr>
        <w:t>perspective</w:t>
      </w:r>
      <w:r w:rsidR="002F22EF">
        <w:rPr>
          <w:rFonts w:ascii="Times New Roman" w:hAnsi="Times New Roman" w:cs="Times New Roman"/>
          <w:shd w:val="clear" w:color="auto" w:fill="FFFFFF"/>
          <w:lang w:val="en-CA"/>
        </w:rPr>
        <w:t xml:space="preserve"> that </w:t>
      </w:r>
      <w:r w:rsidR="00C36965">
        <w:rPr>
          <w:rFonts w:ascii="Times New Roman" w:hAnsi="Times New Roman" w:cs="Times New Roman"/>
          <w:shd w:val="clear" w:color="auto" w:fill="FFFFFF"/>
          <w:lang w:val="en-CA"/>
        </w:rPr>
        <w:t>understands</w:t>
      </w:r>
      <w:r w:rsidR="002F22EF">
        <w:rPr>
          <w:rFonts w:ascii="Times New Roman" w:hAnsi="Times New Roman" w:cs="Times New Roman"/>
          <w:shd w:val="clear" w:color="auto" w:fill="FFFFFF"/>
          <w:lang w:val="en-CA"/>
        </w:rPr>
        <w:t xml:space="preserve"> universalism as</w:t>
      </w:r>
      <w:r w:rsidRPr="007B7233">
        <w:rPr>
          <w:rFonts w:ascii="Times New Roman" w:hAnsi="Times New Roman" w:cs="Times New Roman"/>
          <w:shd w:val="clear" w:color="auto" w:fill="FFFFFF"/>
          <w:lang w:val="en-CA"/>
        </w:rPr>
        <w:t xml:space="preserve"> the extent to which </w:t>
      </w:r>
      <w:r w:rsidR="00781094">
        <w:rPr>
          <w:rFonts w:ascii="Times New Roman" w:hAnsi="Times New Roman" w:cs="Times New Roman"/>
          <w:shd w:val="clear" w:color="auto" w:fill="FFFFFF"/>
          <w:lang w:val="en-CA"/>
        </w:rPr>
        <w:t>cash</w:t>
      </w:r>
      <w:r w:rsidRPr="007B7233">
        <w:rPr>
          <w:rFonts w:ascii="Times New Roman" w:hAnsi="Times New Roman" w:cs="Times New Roman"/>
          <w:shd w:val="clear" w:color="auto" w:fill="FFFFFF"/>
          <w:lang w:val="en-CA"/>
        </w:rPr>
        <w:t xml:space="preserve"> transfers and</w:t>
      </w:r>
      <w:r w:rsidR="00781094">
        <w:rPr>
          <w:rFonts w:ascii="Times New Roman" w:hAnsi="Times New Roman" w:cs="Times New Roman"/>
          <w:shd w:val="clear" w:color="auto" w:fill="FFFFFF"/>
          <w:lang w:val="en-CA"/>
        </w:rPr>
        <w:t xml:space="preserve"> social</w:t>
      </w:r>
      <w:r w:rsidRPr="007B7233">
        <w:rPr>
          <w:rFonts w:ascii="Times New Roman" w:hAnsi="Times New Roman" w:cs="Times New Roman"/>
          <w:shd w:val="clear" w:color="auto" w:fill="FFFFFF"/>
          <w:lang w:val="en-CA"/>
        </w:rPr>
        <w:t xml:space="preserve"> services are ‘normal’ and designed for ‘all people in need.’ This index combines with a factor analysis two indicators developed by the OECD. The first is a measure of the percentage of cash transfers that are income tested, and the second the proportion of private spending in total social expenditures. As mentioned above, income testing is not, in itself, incompatible with universalism. It can be argued, however, that a high proportion of income-tested transfers is indicative of a residual welfare state. Indeed, universalism is broadly understood as contrary to an excessive reliance on means tests (Korpi and Palme 1998; Rothstein 1998). As for the proportion of private spending in total social expenditures, it has the advantage of considering social services, and not only transfers. When the welfare state makes citizens pay for private services, the market tends to be considered as the ‘normal’ provider, and public services become more residual (Béland </w:t>
      </w:r>
      <w:r w:rsidRPr="004D1F6A">
        <w:rPr>
          <w:rFonts w:ascii="Times New Roman" w:hAnsi="Times New Roman" w:cs="Times New Roman"/>
          <w:shd w:val="clear" w:color="auto" w:fill="FFFFFF"/>
          <w:lang w:val="en-CA"/>
        </w:rPr>
        <w:t>et al.</w:t>
      </w:r>
      <w:r w:rsidR="001D5DDD">
        <w:rPr>
          <w:rFonts w:ascii="Times New Roman" w:hAnsi="Times New Roman" w:cs="Times New Roman"/>
          <w:shd w:val="clear" w:color="auto" w:fill="FFFFFF"/>
          <w:lang w:val="en-CA"/>
        </w:rPr>
        <w:t>,</w:t>
      </w:r>
      <w:r w:rsidRPr="007B7233">
        <w:rPr>
          <w:rFonts w:ascii="Times New Roman" w:hAnsi="Times New Roman" w:cs="Times New Roman"/>
          <w:shd w:val="clear" w:color="auto" w:fill="FFFFFF"/>
          <w:lang w:val="en-CA"/>
        </w:rPr>
        <w:t xml:space="preserve"> 2014: 752).</w:t>
      </w:r>
    </w:p>
    <w:p w14:paraId="504A5049" w14:textId="34EFF6E4" w:rsidR="004204AF" w:rsidRDefault="00E05E16" w:rsidP="007406C2">
      <w:pPr>
        <w:spacing w:line="480" w:lineRule="auto"/>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ab/>
        <w:t xml:space="preserve">As Marchal and Van Lancker note, </w:t>
      </w:r>
      <w:r w:rsidR="00A64595">
        <w:rPr>
          <w:rFonts w:ascii="Times New Roman" w:hAnsi="Times New Roman" w:cs="Times New Roman"/>
          <w:shd w:val="clear" w:color="auto" w:fill="FFFFFF"/>
          <w:lang w:val="en-CA"/>
        </w:rPr>
        <w:t>our</w:t>
      </w:r>
      <w:r w:rsidR="00CA4F27">
        <w:rPr>
          <w:rFonts w:ascii="Times New Roman" w:hAnsi="Times New Roman" w:cs="Times New Roman"/>
          <w:shd w:val="clear" w:color="auto" w:fill="FFFFFF"/>
          <w:lang w:val="en-CA"/>
        </w:rPr>
        <w:t xml:space="preserve"> </w:t>
      </w:r>
      <w:r>
        <w:rPr>
          <w:rFonts w:ascii="Times New Roman" w:hAnsi="Times New Roman" w:cs="Times New Roman"/>
          <w:shd w:val="clear" w:color="auto" w:fill="FFFFFF"/>
          <w:lang w:val="en-CA"/>
        </w:rPr>
        <w:t>universalism</w:t>
      </w:r>
      <w:r w:rsidR="0006068E">
        <w:rPr>
          <w:rFonts w:ascii="Times New Roman" w:hAnsi="Times New Roman" w:cs="Times New Roman"/>
          <w:shd w:val="clear" w:color="auto" w:fill="FFFFFF"/>
          <w:lang w:val="en-CA"/>
        </w:rPr>
        <w:t xml:space="preserve">/residualism indicator does not </w:t>
      </w:r>
      <w:r w:rsidR="006B7C78">
        <w:rPr>
          <w:rFonts w:ascii="Times New Roman" w:hAnsi="Times New Roman" w:cs="Times New Roman"/>
          <w:shd w:val="clear" w:color="auto" w:fill="FFFFFF"/>
          <w:lang w:val="en-CA"/>
        </w:rPr>
        <w:t xml:space="preserve">isolate </w:t>
      </w:r>
      <w:r w:rsidR="00402011">
        <w:rPr>
          <w:rFonts w:ascii="Times New Roman" w:hAnsi="Times New Roman" w:cs="Times New Roman"/>
          <w:shd w:val="clear" w:color="auto" w:fill="FFFFFF"/>
          <w:lang w:val="en-CA"/>
        </w:rPr>
        <w:t>entirely</w:t>
      </w:r>
      <w:r w:rsidR="006B7C78">
        <w:rPr>
          <w:rFonts w:ascii="Times New Roman" w:hAnsi="Times New Roman" w:cs="Times New Roman"/>
          <w:shd w:val="clear" w:color="auto" w:fill="FFFFFF"/>
          <w:lang w:val="en-CA"/>
        </w:rPr>
        <w:t xml:space="preserve"> policy intentions from the social and economic context (2018).</w:t>
      </w:r>
      <w:r w:rsidR="00C36965">
        <w:rPr>
          <w:rFonts w:ascii="Times New Roman" w:hAnsi="Times New Roman" w:cs="Times New Roman"/>
          <w:shd w:val="clear" w:color="auto" w:fill="FFFFFF"/>
          <w:lang w:val="en-CA"/>
        </w:rPr>
        <w:t xml:space="preserve"> But no </w:t>
      </w:r>
      <w:r w:rsidR="00C36965">
        <w:rPr>
          <w:rFonts w:ascii="Times New Roman" w:hAnsi="Times New Roman" w:cs="Times New Roman"/>
          <w:shd w:val="clear" w:color="auto" w:fill="FFFFFF"/>
          <w:lang w:val="en-CA"/>
        </w:rPr>
        <w:lastRenderedPageBreak/>
        <w:t xml:space="preserve">indicator does. Brady and Bostic coefficient of variation is also influenced by exogenous factors. </w:t>
      </w:r>
      <w:r w:rsidR="007E2F5A">
        <w:rPr>
          <w:rFonts w:ascii="Times New Roman" w:hAnsi="Times New Roman" w:cs="Times New Roman"/>
          <w:shd w:val="clear" w:color="auto" w:fill="FFFFFF"/>
          <w:lang w:val="en-CA"/>
        </w:rPr>
        <w:t xml:space="preserve">If the transfers allocated to certain age groups </w:t>
      </w:r>
      <w:r w:rsidR="009A0640">
        <w:rPr>
          <w:rFonts w:ascii="Times New Roman" w:hAnsi="Times New Roman" w:cs="Times New Roman"/>
          <w:shd w:val="clear" w:color="auto" w:fill="FFFFFF"/>
          <w:lang w:val="en-CA"/>
        </w:rPr>
        <w:t xml:space="preserve">are more heterogenous </w:t>
      </w:r>
      <w:r w:rsidR="007E2F5A">
        <w:rPr>
          <w:rFonts w:ascii="Times New Roman" w:hAnsi="Times New Roman" w:cs="Times New Roman"/>
          <w:shd w:val="clear" w:color="auto" w:fill="FFFFFF"/>
          <w:lang w:val="en-CA"/>
        </w:rPr>
        <w:t>than those allocated to the rest of the population,</w:t>
      </w:r>
      <w:r w:rsidR="009A0640">
        <w:rPr>
          <w:rFonts w:ascii="Times New Roman" w:hAnsi="Times New Roman" w:cs="Times New Roman"/>
          <w:shd w:val="clear" w:color="auto" w:fill="FFFFFF"/>
          <w:lang w:val="en-CA"/>
        </w:rPr>
        <w:t xml:space="preserve"> for instance,</w:t>
      </w:r>
      <w:r w:rsidR="007E2F5A">
        <w:rPr>
          <w:rFonts w:ascii="Times New Roman" w:hAnsi="Times New Roman" w:cs="Times New Roman"/>
          <w:shd w:val="clear" w:color="auto" w:fill="FFFFFF"/>
          <w:lang w:val="en-CA"/>
        </w:rPr>
        <w:t xml:space="preserve"> </w:t>
      </w:r>
      <w:r w:rsidR="009A0640">
        <w:rPr>
          <w:rFonts w:ascii="Times New Roman" w:hAnsi="Times New Roman" w:cs="Times New Roman"/>
          <w:shd w:val="clear" w:color="auto" w:fill="FFFFFF"/>
          <w:lang w:val="en-CA"/>
        </w:rPr>
        <w:t xml:space="preserve">demographic characteristics will </w:t>
      </w:r>
      <w:r w:rsidR="007E2F5A">
        <w:rPr>
          <w:rFonts w:ascii="Times New Roman" w:hAnsi="Times New Roman" w:cs="Times New Roman"/>
          <w:shd w:val="clear" w:color="auto" w:fill="FFFFFF"/>
          <w:lang w:val="en-CA"/>
        </w:rPr>
        <w:t>affect the coefficient of variation</w:t>
      </w:r>
      <w:r w:rsidR="00C36965">
        <w:rPr>
          <w:rFonts w:ascii="Times New Roman" w:hAnsi="Times New Roman" w:cs="Times New Roman"/>
          <w:shd w:val="clear" w:color="auto" w:fill="FFFFFF"/>
          <w:lang w:val="en-CA"/>
        </w:rPr>
        <w:t>.</w:t>
      </w:r>
      <w:r w:rsidR="004304AA">
        <w:rPr>
          <w:rFonts w:ascii="Times New Roman" w:hAnsi="Times New Roman" w:cs="Times New Roman"/>
          <w:shd w:val="clear" w:color="auto" w:fill="FFFFFF"/>
          <w:lang w:val="en-CA"/>
        </w:rPr>
        <w:t xml:space="preserve"> </w:t>
      </w:r>
      <w:r w:rsidR="00A64595">
        <w:rPr>
          <w:rFonts w:ascii="Times New Roman" w:hAnsi="Times New Roman" w:cs="Times New Roman"/>
          <w:shd w:val="clear" w:color="auto" w:fill="FFFFFF"/>
          <w:lang w:val="en-CA"/>
        </w:rPr>
        <w:t>Our</w:t>
      </w:r>
      <w:r w:rsidR="00C36965">
        <w:rPr>
          <w:rFonts w:ascii="Times New Roman" w:hAnsi="Times New Roman" w:cs="Times New Roman"/>
          <w:shd w:val="clear" w:color="auto" w:fill="FFFFFF"/>
          <w:lang w:val="en-CA"/>
        </w:rPr>
        <w:t xml:space="preserve"> indicator</w:t>
      </w:r>
      <w:r w:rsidR="004304AA">
        <w:rPr>
          <w:rFonts w:ascii="Times New Roman" w:hAnsi="Times New Roman" w:cs="Times New Roman"/>
          <w:shd w:val="clear" w:color="auto" w:fill="FFFFFF"/>
          <w:lang w:val="en-CA"/>
        </w:rPr>
        <w:t xml:space="preserve"> has the advantage</w:t>
      </w:r>
      <w:r w:rsidR="00C36965">
        <w:rPr>
          <w:rFonts w:ascii="Times New Roman" w:hAnsi="Times New Roman" w:cs="Times New Roman"/>
          <w:shd w:val="clear" w:color="auto" w:fill="FFFFFF"/>
          <w:lang w:val="en-CA"/>
        </w:rPr>
        <w:t xml:space="preserve"> </w:t>
      </w:r>
      <w:r w:rsidR="004304AA">
        <w:rPr>
          <w:rFonts w:ascii="Times New Roman" w:hAnsi="Times New Roman" w:cs="Times New Roman"/>
          <w:shd w:val="clear" w:color="auto" w:fill="FFFFFF"/>
          <w:lang w:val="en-CA"/>
        </w:rPr>
        <w:t>of</w:t>
      </w:r>
      <w:r w:rsidR="00D77CE5">
        <w:rPr>
          <w:rFonts w:ascii="Times New Roman" w:hAnsi="Times New Roman" w:cs="Times New Roman"/>
          <w:shd w:val="clear" w:color="auto" w:fill="FFFFFF"/>
          <w:lang w:val="en-CA"/>
        </w:rPr>
        <w:t xml:space="preserve"> </w:t>
      </w:r>
      <w:r w:rsidR="004A1BBF">
        <w:rPr>
          <w:rFonts w:ascii="Times New Roman" w:hAnsi="Times New Roman" w:cs="Times New Roman"/>
          <w:shd w:val="clear" w:color="auto" w:fill="FFFFFF"/>
          <w:lang w:val="en-CA"/>
        </w:rPr>
        <w:t>providing a</w:t>
      </w:r>
      <w:r w:rsidR="00C36965">
        <w:rPr>
          <w:rFonts w:ascii="Times New Roman" w:hAnsi="Times New Roman" w:cs="Times New Roman"/>
          <w:shd w:val="clear" w:color="auto" w:fill="FFFFFF"/>
          <w:lang w:val="en-CA"/>
        </w:rPr>
        <w:t>n easily accessible,</w:t>
      </w:r>
      <w:r w:rsidR="006F7650">
        <w:rPr>
          <w:rFonts w:ascii="Times New Roman" w:hAnsi="Times New Roman" w:cs="Times New Roman"/>
          <w:shd w:val="clear" w:color="auto" w:fill="FFFFFF"/>
          <w:lang w:val="en-CA"/>
        </w:rPr>
        <w:t xml:space="preserve"> macro-</w:t>
      </w:r>
      <w:r w:rsidR="004A1BBF">
        <w:rPr>
          <w:rFonts w:ascii="Times New Roman" w:hAnsi="Times New Roman" w:cs="Times New Roman"/>
          <w:shd w:val="clear" w:color="auto" w:fill="FFFFFF"/>
          <w:lang w:val="en-CA"/>
        </w:rPr>
        <w:t xml:space="preserve">institutional </w:t>
      </w:r>
      <w:r w:rsidR="007F725E">
        <w:rPr>
          <w:rFonts w:ascii="Times New Roman" w:hAnsi="Times New Roman" w:cs="Times New Roman"/>
          <w:shd w:val="clear" w:color="auto" w:fill="FFFFFF"/>
          <w:lang w:val="en-CA"/>
        </w:rPr>
        <w:t xml:space="preserve">measure </w:t>
      </w:r>
      <w:r w:rsidR="004A1BBF">
        <w:rPr>
          <w:rFonts w:ascii="Times New Roman" w:hAnsi="Times New Roman" w:cs="Times New Roman"/>
          <w:shd w:val="clear" w:color="auto" w:fill="FFFFFF"/>
          <w:lang w:val="en-CA"/>
        </w:rPr>
        <w:t>of</w:t>
      </w:r>
      <w:r w:rsidR="00D77CE5">
        <w:rPr>
          <w:rFonts w:ascii="Times New Roman" w:hAnsi="Times New Roman" w:cs="Times New Roman"/>
          <w:shd w:val="clear" w:color="auto" w:fill="FFFFFF"/>
          <w:lang w:val="en-CA"/>
        </w:rPr>
        <w:t xml:space="preserve"> universalis</w:t>
      </w:r>
      <w:r w:rsidR="008A7154">
        <w:rPr>
          <w:rFonts w:ascii="Times New Roman" w:hAnsi="Times New Roman" w:cs="Times New Roman"/>
          <w:shd w:val="clear" w:color="auto" w:fill="FFFFFF"/>
          <w:lang w:val="en-CA"/>
        </w:rPr>
        <w:t>m</w:t>
      </w:r>
      <w:r w:rsidR="004A1BBF">
        <w:rPr>
          <w:rFonts w:ascii="Times New Roman" w:hAnsi="Times New Roman" w:cs="Times New Roman"/>
          <w:shd w:val="clear" w:color="auto" w:fill="FFFFFF"/>
          <w:lang w:val="en-CA"/>
        </w:rPr>
        <w:t>, which</w:t>
      </w:r>
      <w:r w:rsidR="00D64B64">
        <w:rPr>
          <w:rFonts w:ascii="Times New Roman" w:hAnsi="Times New Roman" w:cs="Times New Roman"/>
          <w:shd w:val="clear" w:color="auto" w:fill="FFFFFF"/>
          <w:lang w:val="en-CA"/>
        </w:rPr>
        <w:t xml:space="preserve">, albeit imperfect, can be </w:t>
      </w:r>
      <w:r w:rsidR="006F7650">
        <w:rPr>
          <w:rFonts w:ascii="Times New Roman" w:hAnsi="Times New Roman" w:cs="Times New Roman"/>
          <w:shd w:val="clear" w:color="auto" w:fill="FFFFFF"/>
          <w:lang w:val="en-CA"/>
        </w:rPr>
        <w:t>considered</w:t>
      </w:r>
      <w:r w:rsidR="001141AF">
        <w:rPr>
          <w:rFonts w:ascii="Times New Roman" w:hAnsi="Times New Roman" w:cs="Times New Roman"/>
          <w:shd w:val="clear" w:color="auto" w:fill="FFFFFF"/>
          <w:lang w:val="en-CA"/>
        </w:rPr>
        <w:t xml:space="preserve"> apart from redistributive outcomes.</w:t>
      </w:r>
      <w:r w:rsidR="00FF38F3">
        <w:rPr>
          <w:rFonts w:ascii="Times New Roman" w:hAnsi="Times New Roman" w:cs="Times New Roman"/>
          <w:shd w:val="clear" w:color="auto" w:fill="FFFFFF"/>
          <w:lang w:val="en-CA"/>
        </w:rPr>
        <w:t xml:space="preserve"> When combined with</w:t>
      </w:r>
      <w:r w:rsidR="00B82698">
        <w:rPr>
          <w:rFonts w:ascii="Times New Roman" w:hAnsi="Times New Roman" w:cs="Times New Roman"/>
          <w:shd w:val="clear" w:color="auto" w:fill="FFFFFF"/>
          <w:lang w:val="en-CA"/>
        </w:rPr>
        <w:t xml:space="preserve"> an</w:t>
      </w:r>
      <w:r w:rsidR="00097BB8">
        <w:rPr>
          <w:rFonts w:ascii="Times New Roman" w:hAnsi="Times New Roman" w:cs="Times New Roman"/>
          <w:shd w:val="clear" w:color="auto" w:fill="FFFFFF"/>
          <w:lang w:val="en-CA"/>
        </w:rPr>
        <w:t xml:space="preserve"> aggregate</w:t>
      </w:r>
      <w:r w:rsidR="002113D2">
        <w:rPr>
          <w:rFonts w:ascii="Times New Roman" w:hAnsi="Times New Roman" w:cs="Times New Roman"/>
          <w:shd w:val="clear" w:color="auto" w:fill="FFFFFF"/>
          <w:lang w:val="en-CA"/>
        </w:rPr>
        <w:t xml:space="preserve"> indicator of</w:t>
      </w:r>
      <w:r w:rsidR="00B82698">
        <w:rPr>
          <w:rFonts w:ascii="Times New Roman" w:hAnsi="Times New Roman" w:cs="Times New Roman"/>
          <w:shd w:val="clear" w:color="auto" w:fill="FFFFFF"/>
          <w:lang w:val="en-CA"/>
        </w:rPr>
        <w:t xml:space="preserve"> outcomes, the conventional </w:t>
      </w:r>
      <w:r w:rsidR="00FF38F3">
        <w:rPr>
          <w:rFonts w:ascii="Times New Roman" w:hAnsi="Times New Roman" w:cs="Times New Roman"/>
          <w:shd w:val="clear" w:color="auto" w:fill="FFFFFF"/>
          <w:lang w:val="en-CA"/>
        </w:rPr>
        <w:t>concentration coefficient</w:t>
      </w:r>
      <w:r w:rsidR="00B82698">
        <w:rPr>
          <w:rFonts w:ascii="Times New Roman" w:hAnsi="Times New Roman" w:cs="Times New Roman"/>
          <w:shd w:val="clear" w:color="auto" w:fill="FFFFFF"/>
          <w:lang w:val="en-CA"/>
        </w:rPr>
        <w:t xml:space="preserve"> for </w:t>
      </w:r>
      <w:r w:rsidR="00584272">
        <w:rPr>
          <w:rFonts w:ascii="Times New Roman" w:hAnsi="Times New Roman" w:cs="Times New Roman"/>
          <w:shd w:val="clear" w:color="auto" w:fill="FFFFFF"/>
          <w:lang w:val="en-CA"/>
        </w:rPr>
        <w:t>cash transfers, this indicator of universalism/residualism</w:t>
      </w:r>
      <w:r w:rsidR="00C12C46">
        <w:rPr>
          <w:rFonts w:ascii="Times New Roman" w:hAnsi="Times New Roman" w:cs="Times New Roman"/>
          <w:shd w:val="clear" w:color="auto" w:fill="FFFFFF"/>
          <w:lang w:val="en-CA"/>
        </w:rPr>
        <w:t xml:space="preserve"> makes targeting within universalism identifiable</w:t>
      </w:r>
      <w:r w:rsidR="00D9038D">
        <w:rPr>
          <w:rFonts w:ascii="Times New Roman" w:hAnsi="Times New Roman" w:cs="Times New Roman"/>
          <w:shd w:val="clear" w:color="auto" w:fill="FFFFFF"/>
          <w:lang w:val="en-CA"/>
        </w:rPr>
        <w:t xml:space="preserve">, as a combination of universalist </w:t>
      </w:r>
      <w:r w:rsidR="00097BB8">
        <w:rPr>
          <w:rFonts w:ascii="Times New Roman" w:hAnsi="Times New Roman" w:cs="Times New Roman"/>
          <w:shd w:val="clear" w:color="auto" w:fill="FFFFFF"/>
          <w:lang w:val="en-CA"/>
        </w:rPr>
        <w:t xml:space="preserve">institutions </w:t>
      </w:r>
      <w:r w:rsidR="00D9038D">
        <w:rPr>
          <w:rFonts w:ascii="Times New Roman" w:hAnsi="Times New Roman" w:cs="Times New Roman"/>
          <w:shd w:val="clear" w:color="auto" w:fill="FFFFFF"/>
          <w:lang w:val="en-CA"/>
        </w:rPr>
        <w:t>and pro-poor outcomes.</w:t>
      </w:r>
      <w:r w:rsidR="00147C6C">
        <w:rPr>
          <w:rFonts w:ascii="Times New Roman" w:hAnsi="Times New Roman" w:cs="Times New Roman"/>
          <w:shd w:val="clear" w:color="auto" w:fill="FFFFFF"/>
          <w:lang w:val="en-CA"/>
        </w:rPr>
        <w:t xml:space="preserve"> </w:t>
      </w:r>
    </w:p>
    <w:p w14:paraId="3C457E4A" w14:textId="77777777" w:rsidR="00E769C0" w:rsidRDefault="00E769C0" w:rsidP="007406C2">
      <w:pPr>
        <w:spacing w:line="480" w:lineRule="auto"/>
        <w:jc w:val="both"/>
        <w:rPr>
          <w:rFonts w:ascii="Times New Roman" w:hAnsi="Times New Roman" w:cs="Times New Roman"/>
          <w:shd w:val="clear" w:color="auto" w:fill="FFFFFF"/>
          <w:lang w:val="en-CA"/>
        </w:rPr>
      </w:pPr>
    </w:p>
    <w:p w14:paraId="23B82902" w14:textId="7ED0A2E1" w:rsidR="000E594D" w:rsidRDefault="001D2719" w:rsidP="001D2719">
      <w:pPr>
        <w:pStyle w:val="ListParagraph"/>
        <w:numPr>
          <w:ilvl w:val="1"/>
          <w:numId w:val="2"/>
        </w:numPr>
        <w:spacing w:line="480" w:lineRule="auto"/>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Measurement</w:t>
      </w:r>
    </w:p>
    <w:p w14:paraId="7A9A2288" w14:textId="114FF4C4" w:rsidR="00F81D69" w:rsidRDefault="00A9777B" w:rsidP="00405865">
      <w:pPr>
        <w:tabs>
          <w:tab w:val="left" w:pos="567"/>
        </w:tabs>
        <w:spacing w:line="480" w:lineRule="auto"/>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ab/>
      </w:r>
    </w:p>
    <w:p w14:paraId="6C6A659B" w14:textId="15ED222B" w:rsidR="00D76D17" w:rsidRDefault="00A9777B" w:rsidP="00D76D17">
      <w:pPr>
        <w:spacing w:line="480" w:lineRule="auto"/>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ab/>
      </w:r>
      <w:r w:rsidR="00F86D1D">
        <w:rPr>
          <w:rFonts w:ascii="Times New Roman" w:hAnsi="Times New Roman" w:cs="Times New Roman"/>
          <w:shd w:val="clear" w:color="auto" w:fill="FFFFFF"/>
          <w:lang w:val="en-CA"/>
        </w:rPr>
        <w:t>To determine</w:t>
      </w:r>
      <w:r w:rsidR="005C4D81" w:rsidRPr="007B7233">
        <w:rPr>
          <w:rFonts w:ascii="Times New Roman" w:hAnsi="Times New Roman" w:cs="Times New Roman"/>
          <w:shd w:val="clear" w:color="auto" w:fill="FFFFFF"/>
          <w:lang w:val="en-CA"/>
        </w:rPr>
        <w:t xml:space="preserve"> how targeting relates to universalism, we use the same cases as Pablo Beramendi, Silja Häusermann, Herbert Kitschelt, and Hanspeter Kriesi in </w:t>
      </w:r>
      <w:r w:rsidR="005C4D81" w:rsidRPr="007B7233">
        <w:rPr>
          <w:rFonts w:ascii="Times New Roman" w:hAnsi="Times New Roman" w:cs="Times New Roman"/>
          <w:i/>
          <w:shd w:val="clear" w:color="auto" w:fill="FFFFFF"/>
          <w:lang w:val="en-CA"/>
        </w:rPr>
        <w:t>The Politics of Advanced Capitalism</w:t>
      </w:r>
      <w:r w:rsidR="005C4D81" w:rsidRPr="007B7233">
        <w:rPr>
          <w:rFonts w:ascii="Times New Roman" w:hAnsi="Times New Roman" w:cs="Times New Roman"/>
          <w:shd w:val="clear" w:color="auto" w:fill="FFFFFF"/>
          <w:lang w:val="en-CA"/>
        </w:rPr>
        <w:t>, based on the same criteria: “countries whose democracies have been in operation for more than one generation, whose purchasing power parity assessed affluence (per capita GDP) according to World Bank data exceeded $25,000 international dollars in 2011, and whose population is greater than 4 million inhabitants” (2015: 4).</w:t>
      </w:r>
      <w:r w:rsidR="00F0390B">
        <w:rPr>
          <w:rFonts w:ascii="Times New Roman" w:hAnsi="Times New Roman" w:cs="Times New Roman"/>
          <w:shd w:val="clear" w:color="auto" w:fill="FFFFFF"/>
          <w:lang w:val="en-CA"/>
        </w:rPr>
        <w:t xml:space="preserve"> These</w:t>
      </w:r>
      <w:r w:rsidR="00F0390B" w:rsidRPr="007B7233">
        <w:rPr>
          <w:rFonts w:ascii="Times New Roman" w:hAnsi="Times New Roman" w:cs="Times New Roman"/>
          <w:shd w:val="clear" w:color="auto" w:fill="FFFFFF"/>
          <w:lang w:val="en-CA"/>
        </w:rPr>
        <w:t xml:space="preserve"> </w:t>
      </w:r>
      <w:r w:rsidR="00F0390B">
        <w:rPr>
          <w:rFonts w:ascii="Times New Roman" w:hAnsi="Times New Roman" w:cs="Times New Roman"/>
          <w:shd w:val="clear" w:color="auto" w:fill="FFFFFF"/>
          <w:lang w:val="en-CA"/>
        </w:rPr>
        <w:t>criteria</w:t>
      </w:r>
      <w:r w:rsidR="00F0390B" w:rsidRPr="007B7233">
        <w:rPr>
          <w:rFonts w:ascii="Times New Roman" w:hAnsi="Times New Roman" w:cs="Times New Roman"/>
          <w:shd w:val="clear" w:color="auto" w:fill="FFFFFF"/>
          <w:lang w:val="en-CA"/>
        </w:rPr>
        <w:t xml:space="preserve"> </w:t>
      </w:r>
      <w:r w:rsidR="00F0390B">
        <w:rPr>
          <w:rFonts w:ascii="Times New Roman" w:hAnsi="Times New Roman" w:cs="Times New Roman"/>
          <w:shd w:val="clear" w:color="auto" w:fill="FFFFFF"/>
          <w:lang w:val="en-CA"/>
        </w:rPr>
        <w:t>identify</w:t>
      </w:r>
      <w:r w:rsidR="00F0390B" w:rsidRPr="007B7233">
        <w:rPr>
          <w:rFonts w:ascii="Times New Roman" w:hAnsi="Times New Roman" w:cs="Times New Roman"/>
          <w:shd w:val="clear" w:color="auto" w:fill="FFFFFF"/>
          <w:lang w:val="en-CA"/>
        </w:rPr>
        <w:t xml:space="preserve"> the following cases: Australia, Austria, Belgium, Canada, Denmark, Finland, France, Germany, Greece, Ireland, Italy, Japan, the Netherlands, New Zealand, Norway, Portugal, Spain, Sweden, Switzerland, the United Kingdom</w:t>
      </w:r>
      <w:r w:rsidR="00F0390B">
        <w:rPr>
          <w:rFonts w:ascii="Times New Roman" w:hAnsi="Times New Roman" w:cs="Times New Roman"/>
          <w:shd w:val="clear" w:color="auto" w:fill="FFFFFF"/>
          <w:lang w:val="en-CA"/>
        </w:rPr>
        <w:t>, and the United States.</w:t>
      </w:r>
      <w:r w:rsidR="005C4D81" w:rsidRPr="007B7233">
        <w:rPr>
          <w:rFonts w:ascii="Times New Roman" w:hAnsi="Times New Roman" w:cs="Times New Roman"/>
          <w:shd w:val="clear" w:color="auto" w:fill="FFFFFF"/>
          <w:lang w:val="en-CA"/>
        </w:rPr>
        <w:t xml:space="preserve"> The years selected are i</w:t>
      </w:r>
      <w:r w:rsidR="00A64595">
        <w:rPr>
          <w:rFonts w:ascii="Times New Roman" w:hAnsi="Times New Roman" w:cs="Times New Roman"/>
          <w:shd w:val="clear" w:color="auto" w:fill="FFFFFF"/>
          <w:lang w:val="en-CA"/>
        </w:rPr>
        <w:t>dentified as</w:t>
      </w:r>
      <w:r w:rsidR="005C4D81" w:rsidRPr="007B7233">
        <w:rPr>
          <w:rFonts w:ascii="Times New Roman" w:hAnsi="Times New Roman" w:cs="Times New Roman"/>
          <w:shd w:val="clear" w:color="auto" w:fill="FFFFFF"/>
          <w:lang w:val="en-CA"/>
        </w:rPr>
        <w:t xml:space="preserve"> the mid-2000s because </w:t>
      </w:r>
      <w:r w:rsidR="00A64595">
        <w:rPr>
          <w:rFonts w:ascii="Times New Roman" w:hAnsi="Times New Roman" w:cs="Times New Roman"/>
          <w:shd w:val="clear" w:color="auto" w:fill="FFFFFF"/>
          <w:lang w:val="en-CA"/>
        </w:rPr>
        <w:t xml:space="preserve">the </w:t>
      </w:r>
      <w:r w:rsidR="005C4D81" w:rsidRPr="007B7233">
        <w:rPr>
          <w:rFonts w:ascii="Times New Roman" w:hAnsi="Times New Roman" w:cs="Times New Roman"/>
          <w:shd w:val="clear" w:color="auto" w:fill="FFFFFF"/>
          <w:lang w:val="en-CA"/>
        </w:rPr>
        <w:t xml:space="preserve">concentration </w:t>
      </w:r>
      <w:r w:rsidR="005C4D81" w:rsidRPr="007B7233">
        <w:rPr>
          <w:rFonts w:ascii="Times New Roman" w:hAnsi="Times New Roman" w:cs="Times New Roman"/>
          <w:shd w:val="clear" w:color="auto" w:fill="FFFFFF"/>
          <w:lang w:val="en-CA"/>
        </w:rPr>
        <w:lastRenderedPageBreak/>
        <w:t>coefficients for social transfers</w:t>
      </w:r>
      <w:r w:rsidR="00A64595">
        <w:rPr>
          <w:rFonts w:ascii="Times New Roman" w:hAnsi="Times New Roman" w:cs="Times New Roman"/>
          <w:shd w:val="clear" w:color="auto" w:fill="FFFFFF"/>
          <w:lang w:val="en-CA"/>
        </w:rPr>
        <w:t xml:space="preserve"> provided by the OECD are for this period</w:t>
      </w:r>
      <w:r w:rsidR="005C4D81" w:rsidRPr="007B7233">
        <w:rPr>
          <w:rFonts w:ascii="Times New Roman" w:hAnsi="Times New Roman" w:cs="Times New Roman"/>
          <w:shd w:val="clear" w:color="auto" w:fill="FFFFFF"/>
          <w:lang w:val="en-CA"/>
        </w:rPr>
        <w:t xml:space="preserve">. </w:t>
      </w:r>
      <w:r w:rsidR="009C3867">
        <w:rPr>
          <w:rFonts w:ascii="Times New Roman" w:hAnsi="Times New Roman" w:cs="Times New Roman"/>
          <w:shd w:val="clear" w:color="auto" w:fill="FFFFFF"/>
          <w:lang w:val="en-CA"/>
        </w:rPr>
        <w:t>All other variables used in the analysis are for 2005.</w:t>
      </w:r>
    </w:p>
    <w:p w14:paraId="4E20AA98" w14:textId="398B43C7" w:rsidR="00A9777B" w:rsidRDefault="00281016" w:rsidP="00962243">
      <w:pPr>
        <w:spacing w:line="480" w:lineRule="auto"/>
        <w:ind w:firstLine="708"/>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The</w:t>
      </w:r>
      <w:r w:rsidR="00A9777B">
        <w:rPr>
          <w:rFonts w:ascii="Times New Roman" w:hAnsi="Times New Roman" w:cs="Times New Roman"/>
          <w:shd w:val="clear" w:color="auto" w:fill="FFFFFF"/>
          <w:lang w:val="en-CA"/>
        </w:rPr>
        <w:t xml:space="preserve"> indicator of residualism/universalism</w:t>
      </w:r>
      <w:r w:rsidR="006975BB">
        <w:rPr>
          <w:rFonts w:ascii="Times New Roman" w:hAnsi="Times New Roman" w:cs="Times New Roman"/>
          <w:shd w:val="clear" w:color="auto" w:fill="FFFFFF"/>
          <w:lang w:val="en-CA"/>
        </w:rPr>
        <w:t xml:space="preserve"> in institutions</w:t>
      </w:r>
      <w:r w:rsidR="00A9777B">
        <w:rPr>
          <w:rFonts w:ascii="Times New Roman" w:hAnsi="Times New Roman" w:cs="Times New Roman"/>
          <w:shd w:val="clear" w:color="auto" w:fill="FFFFFF"/>
          <w:lang w:val="en-CA"/>
        </w:rPr>
        <w:t xml:space="preserve"> is </w:t>
      </w:r>
      <w:r w:rsidR="00A64595">
        <w:rPr>
          <w:rFonts w:ascii="Times New Roman" w:hAnsi="Times New Roman" w:cs="Times New Roman"/>
          <w:shd w:val="clear" w:color="auto" w:fill="FFFFFF"/>
          <w:lang w:val="en-CA"/>
        </w:rPr>
        <w:t xml:space="preserve">drawn </w:t>
      </w:r>
      <w:r w:rsidR="00294DAF">
        <w:rPr>
          <w:rFonts w:ascii="Times New Roman" w:hAnsi="Times New Roman" w:cs="Times New Roman"/>
          <w:shd w:val="clear" w:color="auto" w:fill="FFFFFF"/>
          <w:lang w:val="en-CA"/>
        </w:rPr>
        <w:t xml:space="preserve">from </w:t>
      </w:r>
      <w:r w:rsidR="00A64595">
        <w:rPr>
          <w:rFonts w:ascii="Times New Roman" w:hAnsi="Times New Roman" w:cs="Times New Roman"/>
          <w:shd w:val="clear" w:color="auto" w:fill="FFFFFF"/>
          <w:lang w:val="en-CA"/>
        </w:rPr>
        <w:t xml:space="preserve">an earlier article </w:t>
      </w:r>
      <w:r w:rsidR="00294DAF">
        <w:rPr>
          <w:rFonts w:ascii="Times New Roman" w:hAnsi="Times New Roman" w:cs="Times New Roman"/>
          <w:shd w:val="clear" w:color="auto" w:fill="FFFFFF"/>
          <w:lang w:val="en-CA"/>
        </w:rPr>
        <w:t>(</w:t>
      </w:r>
      <w:r w:rsidR="00A64595">
        <w:rPr>
          <w:rFonts w:ascii="Times New Roman" w:hAnsi="Times New Roman" w:cs="Times New Roman"/>
          <w:shd w:val="clear" w:color="auto" w:fill="FFFFFF"/>
          <w:lang w:val="en-CA"/>
        </w:rPr>
        <w:t xml:space="preserve">Jacques and Noël, </w:t>
      </w:r>
      <w:r w:rsidR="00294DAF">
        <w:rPr>
          <w:rFonts w:ascii="Times New Roman" w:hAnsi="Times New Roman" w:cs="Times New Roman"/>
          <w:shd w:val="clear" w:color="auto" w:fill="FFFFFF"/>
          <w:lang w:val="en-CA"/>
        </w:rPr>
        <w:t>2018)</w:t>
      </w:r>
      <w:r w:rsidR="00760EE1">
        <w:rPr>
          <w:rFonts w:ascii="Times New Roman" w:hAnsi="Times New Roman" w:cs="Times New Roman"/>
          <w:shd w:val="clear" w:color="auto" w:fill="FFFFFF"/>
          <w:lang w:val="en-CA"/>
        </w:rPr>
        <w:t>. M</w:t>
      </w:r>
      <w:r w:rsidR="008939CC">
        <w:rPr>
          <w:rFonts w:ascii="Times New Roman" w:hAnsi="Times New Roman" w:cs="Times New Roman"/>
          <w:shd w:val="clear" w:color="auto" w:fill="FFFFFF"/>
          <w:lang w:val="en-CA"/>
        </w:rPr>
        <w:t>ore explicit explanations o</w:t>
      </w:r>
      <w:r w:rsidR="00760EE1">
        <w:rPr>
          <w:rFonts w:ascii="Times New Roman" w:hAnsi="Times New Roman" w:cs="Times New Roman"/>
          <w:shd w:val="clear" w:color="auto" w:fill="FFFFFF"/>
          <w:lang w:val="en-CA"/>
        </w:rPr>
        <w:t>n</w:t>
      </w:r>
      <w:r w:rsidR="008939CC">
        <w:rPr>
          <w:rFonts w:ascii="Times New Roman" w:hAnsi="Times New Roman" w:cs="Times New Roman"/>
          <w:shd w:val="clear" w:color="auto" w:fill="FFFFFF"/>
          <w:lang w:val="en-CA"/>
        </w:rPr>
        <w:t xml:space="preserve"> the construction of th</w:t>
      </w:r>
      <w:r w:rsidR="00760EE1">
        <w:rPr>
          <w:rFonts w:ascii="Times New Roman" w:hAnsi="Times New Roman" w:cs="Times New Roman"/>
          <w:shd w:val="clear" w:color="auto" w:fill="FFFFFF"/>
          <w:lang w:val="en-CA"/>
        </w:rPr>
        <w:t>is</w:t>
      </w:r>
      <w:r w:rsidR="008939CC">
        <w:rPr>
          <w:rFonts w:ascii="Times New Roman" w:hAnsi="Times New Roman" w:cs="Times New Roman"/>
          <w:shd w:val="clear" w:color="auto" w:fill="FFFFFF"/>
          <w:lang w:val="en-CA"/>
        </w:rPr>
        <w:t xml:space="preserve"> ind</w:t>
      </w:r>
      <w:r w:rsidR="00760EE1">
        <w:rPr>
          <w:rFonts w:ascii="Times New Roman" w:hAnsi="Times New Roman" w:cs="Times New Roman"/>
          <w:shd w:val="clear" w:color="auto" w:fill="FFFFFF"/>
          <w:lang w:val="en-CA"/>
        </w:rPr>
        <w:t>icator</w:t>
      </w:r>
      <w:r w:rsidR="008939CC">
        <w:rPr>
          <w:rFonts w:ascii="Times New Roman" w:hAnsi="Times New Roman" w:cs="Times New Roman"/>
          <w:shd w:val="clear" w:color="auto" w:fill="FFFFFF"/>
          <w:lang w:val="en-CA"/>
        </w:rPr>
        <w:t xml:space="preserve"> can be found in the online appendix</w:t>
      </w:r>
      <w:r w:rsidR="00294DAF">
        <w:rPr>
          <w:rFonts w:ascii="Times New Roman" w:hAnsi="Times New Roman" w:cs="Times New Roman"/>
          <w:shd w:val="clear" w:color="auto" w:fill="FFFFFF"/>
          <w:lang w:val="en-CA"/>
        </w:rPr>
        <w:t>.</w:t>
      </w:r>
      <w:r w:rsidR="006A5C2E">
        <w:rPr>
          <w:rFonts w:ascii="Times New Roman" w:hAnsi="Times New Roman" w:cs="Times New Roman"/>
          <w:shd w:val="clear" w:color="auto" w:fill="FFFFFF"/>
          <w:lang w:val="en-CA"/>
        </w:rPr>
        <w:t xml:space="preserve"> For </w:t>
      </w:r>
      <w:r w:rsidR="00B54308">
        <w:rPr>
          <w:rFonts w:ascii="Times New Roman" w:hAnsi="Times New Roman" w:cs="Times New Roman"/>
          <w:shd w:val="clear" w:color="auto" w:fill="FFFFFF"/>
          <w:lang w:val="en-CA"/>
        </w:rPr>
        <w:t>2005</w:t>
      </w:r>
      <w:r w:rsidR="006975BB">
        <w:rPr>
          <w:rFonts w:ascii="Times New Roman" w:hAnsi="Times New Roman" w:cs="Times New Roman"/>
          <w:shd w:val="clear" w:color="auto" w:fill="FFFFFF"/>
          <w:lang w:val="en-CA"/>
        </w:rPr>
        <w:t>, th</w:t>
      </w:r>
      <w:r w:rsidR="00760EE1">
        <w:rPr>
          <w:rFonts w:ascii="Times New Roman" w:hAnsi="Times New Roman" w:cs="Times New Roman"/>
          <w:shd w:val="clear" w:color="auto" w:fill="FFFFFF"/>
          <w:lang w:val="en-CA"/>
        </w:rPr>
        <w:t>e</w:t>
      </w:r>
      <w:r w:rsidR="006A5C2E" w:rsidRPr="007B7233">
        <w:rPr>
          <w:rFonts w:ascii="Times New Roman" w:hAnsi="Times New Roman" w:cs="Times New Roman"/>
          <w:shd w:val="clear" w:color="auto" w:fill="FFFFFF"/>
          <w:lang w:val="en-CA"/>
        </w:rPr>
        <w:t xml:space="preserve"> index of universalism ranges from – 1.9</w:t>
      </w:r>
      <w:r w:rsidR="00663B76">
        <w:rPr>
          <w:rFonts w:ascii="Times New Roman" w:hAnsi="Times New Roman" w:cs="Times New Roman"/>
          <w:shd w:val="clear" w:color="auto" w:fill="FFFFFF"/>
          <w:lang w:val="en-CA"/>
        </w:rPr>
        <w:t>1</w:t>
      </w:r>
      <w:r w:rsidR="006A5C2E" w:rsidRPr="007B7233">
        <w:rPr>
          <w:rFonts w:ascii="Times New Roman" w:hAnsi="Times New Roman" w:cs="Times New Roman"/>
          <w:shd w:val="clear" w:color="auto" w:fill="FFFFFF"/>
          <w:lang w:val="en-CA"/>
        </w:rPr>
        <w:t xml:space="preserve"> (</w:t>
      </w:r>
      <w:r w:rsidR="00663B76">
        <w:rPr>
          <w:rFonts w:ascii="Times New Roman" w:hAnsi="Times New Roman" w:cs="Times New Roman"/>
          <w:shd w:val="clear" w:color="auto" w:fill="FFFFFF"/>
          <w:lang w:val="en-CA"/>
        </w:rPr>
        <w:t>Canada</w:t>
      </w:r>
      <w:r w:rsidR="006A5C2E" w:rsidRPr="007B7233">
        <w:rPr>
          <w:rFonts w:ascii="Times New Roman" w:hAnsi="Times New Roman" w:cs="Times New Roman"/>
          <w:shd w:val="clear" w:color="auto" w:fill="FFFFFF"/>
          <w:lang w:val="en-CA"/>
        </w:rPr>
        <w:t>) to 1.4</w:t>
      </w:r>
      <w:r w:rsidR="00663B76">
        <w:rPr>
          <w:rFonts w:ascii="Times New Roman" w:hAnsi="Times New Roman" w:cs="Times New Roman"/>
          <w:shd w:val="clear" w:color="auto" w:fill="FFFFFF"/>
          <w:lang w:val="en-CA"/>
        </w:rPr>
        <w:t>2</w:t>
      </w:r>
      <w:r w:rsidR="006A5C2E" w:rsidRPr="007B7233">
        <w:rPr>
          <w:rFonts w:ascii="Times New Roman" w:hAnsi="Times New Roman" w:cs="Times New Roman"/>
          <w:shd w:val="clear" w:color="auto" w:fill="FFFFFF"/>
          <w:lang w:val="en-CA"/>
        </w:rPr>
        <w:t xml:space="preserve"> (Denmark).</w:t>
      </w:r>
      <w:r w:rsidR="00406F5C">
        <w:rPr>
          <w:rFonts w:ascii="Times New Roman" w:hAnsi="Times New Roman" w:cs="Times New Roman"/>
          <w:shd w:val="clear" w:color="auto" w:fill="FFFFFF"/>
          <w:lang w:val="en-CA"/>
        </w:rPr>
        <w:t xml:space="preserve"> </w:t>
      </w:r>
      <w:r w:rsidR="001101D4">
        <w:rPr>
          <w:rFonts w:ascii="Times New Roman" w:hAnsi="Times New Roman" w:cs="Times New Roman"/>
          <w:shd w:val="clear" w:color="auto" w:fill="FFFFFF"/>
          <w:lang w:val="en-CA"/>
        </w:rPr>
        <w:t xml:space="preserve">As for targeting in outcomes, the pro-poor/pro-rich distinction, </w:t>
      </w:r>
      <w:r w:rsidR="00A17CE5">
        <w:rPr>
          <w:rFonts w:ascii="Times New Roman" w:hAnsi="Times New Roman" w:cs="Times New Roman"/>
          <w:shd w:val="clear" w:color="auto" w:fill="FFFFFF"/>
          <w:lang w:val="en-CA"/>
        </w:rPr>
        <w:t>we use</w:t>
      </w:r>
      <w:r w:rsidR="00AD17CF">
        <w:rPr>
          <w:rFonts w:ascii="Times New Roman" w:hAnsi="Times New Roman" w:cs="Times New Roman"/>
          <w:shd w:val="clear" w:color="auto" w:fill="FFFFFF"/>
          <w:lang w:val="en-CA"/>
        </w:rPr>
        <w:t xml:space="preserve"> the</w:t>
      </w:r>
      <w:r w:rsidR="00A17CE5">
        <w:rPr>
          <w:rFonts w:ascii="Times New Roman" w:hAnsi="Times New Roman" w:cs="Times New Roman"/>
          <w:shd w:val="clear" w:color="auto" w:fill="FFFFFF"/>
          <w:lang w:val="en-CA"/>
        </w:rPr>
        <w:t xml:space="preserve"> OECD</w:t>
      </w:r>
      <w:r w:rsidR="00046432">
        <w:rPr>
          <w:rFonts w:ascii="Times New Roman" w:hAnsi="Times New Roman" w:cs="Times New Roman"/>
          <w:shd w:val="clear" w:color="auto" w:fill="FFFFFF"/>
          <w:lang w:val="en-CA"/>
        </w:rPr>
        <w:t xml:space="preserve"> concentration coefficient of</w:t>
      </w:r>
      <w:r w:rsidR="00AD17CF">
        <w:rPr>
          <w:rFonts w:ascii="Times New Roman" w:hAnsi="Times New Roman" w:cs="Times New Roman"/>
          <w:shd w:val="clear" w:color="auto" w:fill="FFFFFF"/>
          <w:lang w:val="en-CA"/>
        </w:rPr>
        <w:t xml:space="preserve"> cash </w:t>
      </w:r>
      <w:r w:rsidR="00046432">
        <w:rPr>
          <w:rFonts w:ascii="Times New Roman" w:hAnsi="Times New Roman" w:cs="Times New Roman"/>
          <w:shd w:val="clear" w:color="auto" w:fill="FFFFFF"/>
          <w:lang w:val="en-CA"/>
        </w:rPr>
        <w:t>social benefits for the entire population</w:t>
      </w:r>
      <w:r w:rsidR="00E96E3C">
        <w:rPr>
          <w:rFonts w:ascii="Times New Roman" w:hAnsi="Times New Roman" w:cs="Times New Roman"/>
          <w:shd w:val="clear" w:color="auto" w:fill="FFFFFF"/>
          <w:lang w:val="en-CA"/>
        </w:rPr>
        <w:t xml:space="preserve">, </w:t>
      </w:r>
      <w:r w:rsidR="00E96E3C" w:rsidRPr="007B7233">
        <w:rPr>
          <w:rFonts w:ascii="Times New Roman" w:hAnsi="Times New Roman" w:cs="Times New Roman"/>
          <w:shd w:val="clear" w:color="auto" w:fill="FFFFFF"/>
          <w:lang w:val="en-CA"/>
        </w:rPr>
        <w:t>because we are interested in the balance of spending betwe</w:t>
      </w:r>
      <w:r w:rsidR="007F442B">
        <w:rPr>
          <w:rFonts w:ascii="Times New Roman" w:hAnsi="Times New Roman" w:cs="Times New Roman"/>
          <w:shd w:val="clear" w:color="auto" w:fill="FFFFFF"/>
          <w:lang w:val="en-CA"/>
        </w:rPr>
        <w:t>en generations (OECD</w:t>
      </w:r>
      <w:r w:rsidR="00663B76">
        <w:rPr>
          <w:rFonts w:ascii="Times New Roman" w:hAnsi="Times New Roman" w:cs="Times New Roman"/>
          <w:shd w:val="clear" w:color="auto" w:fill="FFFFFF"/>
          <w:lang w:val="en-CA"/>
        </w:rPr>
        <w:t>,</w:t>
      </w:r>
      <w:r w:rsidR="007F442B">
        <w:rPr>
          <w:rFonts w:ascii="Times New Roman" w:hAnsi="Times New Roman" w:cs="Times New Roman"/>
          <w:shd w:val="clear" w:color="auto" w:fill="FFFFFF"/>
          <w:lang w:val="en-CA"/>
        </w:rPr>
        <w:t xml:space="preserve"> 2008: 105)</w:t>
      </w:r>
      <w:r w:rsidR="00A17CE5">
        <w:rPr>
          <w:rFonts w:ascii="Times New Roman" w:hAnsi="Times New Roman" w:cs="Times New Roman"/>
          <w:shd w:val="clear" w:color="auto" w:fill="FFFFFF"/>
          <w:lang w:val="en-CA"/>
        </w:rPr>
        <w:t>.</w:t>
      </w:r>
      <w:r w:rsidR="00BD1DA6">
        <w:rPr>
          <w:rFonts w:ascii="Times New Roman" w:hAnsi="Times New Roman" w:cs="Times New Roman"/>
          <w:shd w:val="clear" w:color="auto" w:fill="FFFFFF"/>
          <w:lang w:val="en-CA"/>
        </w:rPr>
        <w:t xml:space="preserve"> The concentration coefficient measures </w:t>
      </w:r>
      <w:r w:rsidR="002147F6">
        <w:rPr>
          <w:rFonts w:ascii="Times New Roman" w:hAnsi="Times New Roman" w:cs="Times New Roman"/>
          <w:shd w:val="clear" w:color="auto" w:fill="FFFFFF"/>
          <w:lang w:val="en-CA"/>
        </w:rPr>
        <w:t>the distribution of transfers across income categories.</w:t>
      </w:r>
      <w:r w:rsidR="00D5648E" w:rsidRPr="00D5648E">
        <w:rPr>
          <w:rFonts w:ascii="Times New Roman" w:hAnsi="Times New Roman" w:cs="Times New Roman"/>
          <w:lang w:val="en-CA"/>
        </w:rPr>
        <w:t xml:space="preserve"> </w:t>
      </w:r>
      <w:r w:rsidR="00D5648E" w:rsidRPr="007B7233">
        <w:rPr>
          <w:rFonts w:ascii="Times New Roman" w:hAnsi="Times New Roman" w:cs="Times New Roman"/>
          <w:lang w:val="en-CA"/>
        </w:rPr>
        <w:t xml:space="preserve">It ranges from -1 (when all transfers go to the lower income category) to 1 (when all transfers go </w:t>
      </w:r>
      <w:r w:rsidR="00D5648E">
        <w:rPr>
          <w:rFonts w:ascii="Times New Roman" w:hAnsi="Times New Roman" w:cs="Times New Roman"/>
          <w:lang w:val="en-CA"/>
        </w:rPr>
        <w:t>to the higher income category).</w:t>
      </w:r>
      <w:r w:rsidR="00344C20" w:rsidRPr="007B7233">
        <w:rPr>
          <w:rFonts w:ascii="Times New Roman" w:hAnsi="Times New Roman" w:cs="Times New Roman"/>
          <w:lang w:val="en-CA"/>
        </w:rPr>
        <w:t xml:space="preserve"> If the poor get a higher share of transfers than their </w:t>
      </w:r>
      <w:r w:rsidR="00F416F3">
        <w:rPr>
          <w:rFonts w:ascii="Times New Roman" w:hAnsi="Times New Roman" w:cs="Times New Roman"/>
          <w:lang w:val="en-CA"/>
        </w:rPr>
        <w:t>share</w:t>
      </w:r>
      <w:r w:rsidR="00344C20" w:rsidRPr="007B7233">
        <w:rPr>
          <w:rFonts w:ascii="Times New Roman" w:hAnsi="Times New Roman" w:cs="Times New Roman"/>
          <w:lang w:val="en-CA"/>
        </w:rPr>
        <w:t xml:space="preserve"> of disposable income, the targeting measure is negative and the transfers are deemed pro-poor;</w:t>
      </w:r>
      <w:r w:rsidR="00F22460">
        <w:rPr>
          <w:rFonts w:ascii="Times New Roman" w:hAnsi="Times New Roman" w:cs="Times New Roman"/>
          <w:lang w:val="en-CA"/>
        </w:rPr>
        <w:t xml:space="preserve"> when</w:t>
      </w:r>
      <w:r w:rsidR="004E0245">
        <w:rPr>
          <w:rFonts w:ascii="Times New Roman" w:hAnsi="Times New Roman" w:cs="Times New Roman"/>
          <w:lang w:val="en-CA"/>
        </w:rPr>
        <w:t xml:space="preserve"> the </w:t>
      </w:r>
      <w:r w:rsidR="00E22472">
        <w:rPr>
          <w:rFonts w:ascii="Times New Roman" w:hAnsi="Times New Roman" w:cs="Times New Roman"/>
          <w:lang w:val="en-CA"/>
        </w:rPr>
        <w:t>coefficient is near 0, all income categories receive the same absolute amo</w:t>
      </w:r>
      <w:r w:rsidR="008B1FD9">
        <w:rPr>
          <w:rFonts w:ascii="Times New Roman" w:hAnsi="Times New Roman" w:cs="Times New Roman"/>
          <w:lang w:val="en-CA"/>
        </w:rPr>
        <w:t>u</w:t>
      </w:r>
      <w:r w:rsidR="00E22472">
        <w:rPr>
          <w:rFonts w:ascii="Times New Roman" w:hAnsi="Times New Roman" w:cs="Times New Roman"/>
          <w:lang w:val="en-CA"/>
        </w:rPr>
        <w:t>nt of transfers</w:t>
      </w:r>
      <w:r w:rsidR="002F56FD">
        <w:rPr>
          <w:rFonts w:ascii="Times New Roman" w:hAnsi="Times New Roman" w:cs="Times New Roman"/>
          <w:lang w:val="en-CA"/>
        </w:rPr>
        <w:t>, as one would expect with</w:t>
      </w:r>
      <w:r w:rsidR="008B1FD9">
        <w:rPr>
          <w:rFonts w:ascii="Times New Roman" w:hAnsi="Times New Roman" w:cs="Times New Roman"/>
          <w:lang w:val="en-CA"/>
        </w:rPr>
        <w:t xml:space="preserve"> perfectly universal </w:t>
      </w:r>
      <w:r w:rsidR="002F56FD">
        <w:rPr>
          <w:rFonts w:ascii="Times New Roman" w:hAnsi="Times New Roman" w:cs="Times New Roman"/>
          <w:lang w:val="en-CA"/>
        </w:rPr>
        <w:t>programs</w:t>
      </w:r>
      <w:r w:rsidR="00E22472">
        <w:rPr>
          <w:rFonts w:ascii="Times New Roman" w:hAnsi="Times New Roman" w:cs="Times New Roman"/>
          <w:lang w:val="en-CA"/>
        </w:rPr>
        <w:t>;</w:t>
      </w:r>
      <w:r w:rsidR="003C0DEB">
        <w:rPr>
          <w:rFonts w:ascii="Times New Roman" w:hAnsi="Times New Roman" w:cs="Times New Roman"/>
          <w:lang w:val="en-CA"/>
        </w:rPr>
        <w:t xml:space="preserve"> when</w:t>
      </w:r>
      <w:r w:rsidR="00344C20" w:rsidRPr="007B7233">
        <w:rPr>
          <w:rFonts w:ascii="Times New Roman" w:hAnsi="Times New Roman" w:cs="Times New Roman"/>
          <w:lang w:val="en-CA"/>
        </w:rPr>
        <w:t xml:space="preserve"> the </w:t>
      </w:r>
      <w:r w:rsidR="004E0245">
        <w:rPr>
          <w:rFonts w:ascii="Times New Roman" w:hAnsi="Times New Roman" w:cs="Times New Roman"/>
          <w:lang w:val="en-CA"/>
        </w:rPr>
        <w:t xml:space="preserve">coefficient </w:t>
      </w:r>
      <w:r w:rsidR="00344C20" w:rsidRPr="007B7233">
        <w:rPr>
          <w:rFonts w:ascii="Times New Roman" w:hAnsi="Times New Roman" w:cs="Times New Roman"/>
          <w:lang w:val="en-CA"/>
        </w:rPr>
        <w:t xml:space="preserve">is positive, the transfers are deemed pro-rich (Marx </w:t>
      </w:r>
      <w:r w:rsidR="00344C20" w:rsidRPr="004D1F6A">
        <w:rPr>
          <w:rFonts w:ascii="Times New Roman" w:hAnsi="Times New Roman" w:cs="Times New Roman"/>
          <w:lang w:val="en-CA"/>
        </w:rPr>
        <w:t>et al.</w:t>
      </w:r>
      <w:r w:rsidR="00663B76">
        <w:rPr>
          <w:rFonts w:ascii="Times New Roman" w:hAnsi="Times New Roman" w:cs="Times New Roman"/>
          <w:lang w:val="en-CA"/>
        </w:rPr>
        <w:t>,</w:t>
      </w:r>
      <w:r w:rsidR="00344C20" w:rsidRPr="007B7233">
        <w:rPr>
          <w:rFonts w:ascii="Times New Roman" w:hAnsi="Times New Roman" w:cs="Times New Roman"/>
          <w:lang w:val="en-CA"/>
        </w:rPr>
        <w:t xml:space="preserve"> 2016: 6; OECD</w:t>
      </w:r>
      <w:r w:rsidR="00663B76">
        <w:rPr>
          <w:rFonts w:ascii="Times New Roman" w:hAnsi="Times New Roman" w:cs="Times New Roman"/>
          <w:lang w:val="en-CA"/>
        </w:rPr>
        <w:t>,</w:t>
      </w:r>
      <w:r w:rsidR="00344C20" w:rsidRPr="007B7233">
        <w:rPr>
          <w:rFonts w:ascii="Times New Roman" w:hAnsi="Times New Roman" w:cs="Times New Roman"/>
          <w:lang w:val="en-CA"/>
        </w:rPr>
        <w:t xml:space="preserve"> 2008: 104-5; OECD</w:t>
      </w:r>
      <w:r w:rsidR="00663B76">
        <w:rPr>
          <w:rFonts w:ascii="Times New Roman" w:hAnsi="Times New Roman" w:cs="Times New Roman"/>
          <w:lang w:val="en-CA"/>
        </w:rPr>
        <w:t>,</w:t>
      </w:r>
      <w:r w:rsidR="00344C20" w:rsidRPr="007B7233">
        <w:rPr>
          <w:rFonts w:ascii="Times New Roman" w:hAnsi="Times New Roman" w:cs="Times New Roman"/>
          <w:lang w:val="en-CA"/>
        </w:rPr>
        <w:t xml:space="preserve"> 2015: 319).</w:t>
      </w:r>
    </w:p>
    <w:p w14:paraId="7D766729" w14:textId="1D439DE6" w:rsidR="000B2284" w:rsidRDefault="001C2C18" w:rsidP="00F81D69">
      <w:pPr>
        <w:spacing w:line="480" w:lineRule="auto"/>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ab/>
        <w:t xml:space="preserve">Because it relates the distribution of transfers to </w:t>
      </w:r>
      <w:r w:rsidR="00D85540">
        <w:rPr>
          <w:rFonts w:ascii="Times New Roman" w:hAnsi="Times New Roman" w:cs="Times New Roman"/>
          <w:shd w:val="clear" w:color="auto" w:fill="FFFFFF"/>
          <w:lang w:val="en-CA"/>
        </w:rPr>
        <w:t>that of disposable incom</w:t>
      </w:r>
      <w:r w:rsidR="00E25FDA">
        <w:rPr>
          <w:rFonts w:ascii="Times New Roman" w:hAnsi="Times New Roman" w:cs="Times New Roman"/>
          <w:shd w:val="clear" w:color="auto" w:fill="FFFFFF"/>
          <w:lang w:val="en-CA"/>
        </w:rPr>
        <w:t>e</w:t>
      </w:r>
      <w:r w:rsidR="00D85540">
        <w:rPr>
          <w:rFonts w:ascii="Times New Roman" w:hAnsi="Times New Roman" w:cs="Times New Roman"/>
          <w:shd w:val="clear" w:color="auto" w:fill="FFFFFF"/>
          <w:lang w:val="en-CA"/>
        </w:rPr>
        <w:t xml:space="preserve">, the concentration coefficient </w:t>
      </w:r>
      <w:r w:rsidR="00156B2D">
        <w:rPr>
          <w:rFonts w:ascii="Times New Roman" w:hAnsi="Times New Roman" w:cs="Times New Roman"/>
          <w:shd w:val="clear" w:color="auto" w:fill="FFFFFF"/>
          <w:lang w:val="en-CA"/>
        </w:rPr>
        <w:t xml:space="preserve">is influenced by </w:t>
      </w:r>
      <w:r w:rsidR="00E25FDA">
        <w:rPr>
          <w:rFonts w:ascii="Times New Roman" w:hAnsi="Times New Roman" w:cs="Times New Roman"/>
          <w:shd w:val="clear" w:color="auto" w:fill="FFFFFF"/>
          <w:lang w:val="en-CA"/>
        </w:rPr>
        <w:t>a country’s</w:t>
      </w:r>
      <w:r w:rsidR="00316E25">
        <w:rPr>
          <w:rFonts w:ascii="Times New Roman" w:hAnsi="Times New Roman" w:cs="Times New Roman"/>
          <w:shd w:val="clear" w:color="auto" w:fill="FFFFFF"/>
          <w:lang w:val="en-CA"/>
        </w:rPr>
        <w:t xml:space="preserve"> </w:t>
      </w:r>
      <w:r w:rsidR="00E25FDA">
        <w:rPr>
          <w:rFonts w:ascii="Times New Roman" w:hAnsi="Times New Roman" w:cs="Times New Roman"/>
          <w:shd w:val="clear" w:color="auto" w:fill="FFFFFF"/>
          <w:lang w:val="en-CA"/>
        </w:rPr>
        <w:t>income distribution</w:t>
      </w:r>
      <w:r w:rsidR="000740A1">
        <w:rPr>
          <w:rFonts w:ascii="Times New Roman" w:hAnsi="Times New Roman" w:cs="Times New Roman"/>
          <w:shd w:val="clear" w:color="auto" w:fill="FFFFFF"/>
          <w:lang w:val="en-CA"/>
        </w:rPr>
        <w:t>.</w:t>
      </w:r>
      <w:r w:rsidR="005C2992">
        <w:rPr>
          <w:rFonts w:ascii="Times New Roman" w:hAnsi="Times New Roman" w:cs="Times New Roman"/>
          <w:shd w:val="clear" w:color="auto" w:fill="FFFFFF"/>
          <w:lang w:val="en-CA"/>
        </w:rPr>
        <w:t xml:space="preserve"> A flat-rate universal transfer, for instance, will</w:t>
      </w:r>
      <w:r w:rsidR="007668DC">
        <w:rPr>
          <w:rFonts w:ascii="Times New Roman" w:hAnsi="Times New Roman" w:cs="Times New Roman"/>
          <w:shd w:val="clear" w:color="auto" w:fill="FFFFFF"/>
          <w:lang w:val="en-CA"/>
        </w:rPr>
        <w:t xml:space="preserve"> appear more pro-poor</w:t>
      </w:r>
      <w:r w:rsidR="001834C9">
        <w:rPr>
          <w:rFonts w:ascii="Times New Roman" w:hAnsi="Times New Roman" w:cs="Times New Roman"/>
          <w:shd w:val="clear" w:color="auto" w:fill="FFFFFF"/>
          <w:lang w:val="en-CA"/>
        </w:rPr>
        <w:t xml:space="preserve"> </w:t>
      </w:r>
      <w:r w:rsidR="007668DC">
        <w:rPr>
          <w:rFonts w:ascii="Times New Roman" w:hAnsi="Times New Roman" w:cs="Times New Roman"/>
          <w:shd w:val="clear" w:color="auto" w:fill="FFFFFF"/>
          <w:lang w:val="en-CA"/>
        </w:rPr>
        <w:t>i</w:t>
      </w:r>
      <w:r w:rsidR="00086F16">
        <w:rPr>
          <w:rFonts w:ascii="Times New Roman" w:hAnsi="Times New Roman" w:cs="Times New Roman"/>
          <w:shd w:val="clear" w:color="auto" w:fill="FFFFFF"/>
          <w:lang w:val="en-CA"/>
        </w:rPr>
        <w:t>n a highly unequal country</w:t>
      </w:r>
      <w:r w:rsidR="007668DC">
        <w:rPr>
          <w:rFonts w:ascii="Times New Roman" w:hAnsi="Times New Roman" w:cs="Times New Roman"/>
          <w:shd w:val="clear" w:color="auto" w:fill="FFFFFF"/>
          <w:lang w:val="en-CA"/>
        </w:rPr>
        <w:t xml:space="preserve">, because the poor will have </w:t>
      </w:r>
      <w:r w:rsidR="00AE100A">
        <w:rPr>
          <w:rFonts w:ascii="Times New Roman" w:hAnsi="Times New Roman" w:cs="Times New Roman"/>
          <w:shd w:val="clear" w:color="auto" w:fill="FFFFFF"/>
          <w:lang w:val="en-CA"/>
        </w:rPr>
        <w:t>a large</w:t>
      </w:r>
      <w:r w:rsidR="00C24D66">
        <w:rPr>
          <w:rFonts w:ascii="Times New Roman" w:hAnsi="Times New Roman" w:cs="Times New Roman"/>
          <w:shd w:val="clear" w:color="auto" w:fill="FFFFFF"/>
          <w:lang w:val="en-CA"/>
        </w:rPr>
        <w:t xml:space="preserve"> transfer</w:t>
      </w:r>
      <w:r w:rsidR="00AE100A">
        <w:rPr>
          <w:rFonts w:ascii="Times New Roman" w:hAnsi="Times New Roman" w:cs="Times New Roman"/>
          <w:shd w:val="clear" w:color="auto" w:fill="FFFFFF"/>
          <w:lang w:val="en-CA"/>
        </w:rPr>
        <w:t xml:space="preserve"> share</w:t>
      </w:r>
      <w:r w:rsidR="00D42A56">
        <w:rPr>
          <w:rFonts w:ascii="Times New Roman" w:hAnsi="Times New Roman" w:cs="Times New Roman"/>
          <w:shd w:val="clear" w:color="auto" w:fill="FFFFFF"/>
          <w:lang w:val="en-CA"/>
        </w:rPr>
        <w:t xml:space="preserve"> </w:t>
      </w:r>
      <w:r w:rsidR="00E95796">
        <w:rPr>
          <w:rFonts w:ascii="Times New Roman" w:hAnsi="Times New Roman" w:cs="Times New Roman"/>
          <w:shd w:val="clear" w:color="auto" w:fill="FFFFFF"/>
          <w:lang w:val="en-CA"/>
        </w:rPr>
        <w:t>relative</w:t>
      </w:r>
      <w:r w:rsidR="00D42A56">
        <w:rPr>
          <w:rFonts w:ascii="Times New Roman" w:hAnsi="Times New Roman" w:cs="Times New Roman"/>
          <w:shd w:val="clear" w:color="auto" w:fill="FFFFFF"/>
          <w:lang w:val="en-CA"/>
        </w:rPr>
        <w:t xml:space="preserve"> to</w:t>
      </w:r>
      <w:r w:rsidR="00C24D66">
        <w:rPr>
          <w:rFonts w:ascii="Times New Roman" w:hAnsi="Times New Roman" w:cs="Times New Roman"/>
          <w:shd w:val="clear" w:color="auto" w:fill="FFFFFF"/>
          <w:lang w:val="en-CA"/>
        </w:rPr>
        <w:t xml:space="preserve"> </w:t>
      </w:r>
      <w:r w:rsidR="009F3FED">
        <w:rPr>
          <w:rFonts w:ascii="Times New Roman" w:hAnsi="Times New Roman" w:cs="Times New Roman"/>
          <w:shd w:val="clear" w:color="auto" w:fill="FFFFFF"/>
          <w:lang w:val="en-CA"/>
        </w:rPr>
        <w:t>their</w:t>
      </w:r>
      <w:r w:rsidR="00C24D66">
        <w:rPr>
          <w:rFonts w:ascii="Times New Roman" w:hAnsi="Times New Roman" w:cs="Times New Roman"/>
          <w:shd w:val="clear" w:color="auto" w:fill="FFFFFF"/>
          <w:lang w:val="en-CA"/>
        </w:rPr>
        <w:t xml:space="preserve"> share of</w:t>
      </w:r>
      <w:r w:rsidR="009F3FED">
        <w:rPr>
          <w:rFonts w:ascii="Times New Roman" w:hAnsi="Times New Roman" w:cs="Times New Roman"/>
          <w:shd w:val="clear" w:color="auto" w:fill="FFFFFF"/>
          <w:lang w:val="en-CA"/>
        </w:rPr>
        <w:t xml:space="preserve"> income.</w:t>
      </w:r>
      <w:r w:rsidR="00C24D66">
        <w:rPr>
          <w:rFonts w:ascii="Times New Roman" w:hAnsi="Times New Roman" w:cs="Times New Roman"/>
          <w:shd w:val="clear" w:color="auto" w:fill="FFFFFF"/>
          <w:lang w:val="en-CA"/>
        </w:rPr>
        <w:t xml:space="preserve"> To correct for this </w:t>
      </w:r>
      <w:r w:rsidR="00B759CA">
        <w:rPr>
          <w:rFonts w:ascii="Times New Roman" w:hAnsi="Times New Roman" w:cs="Times New Roman"/>
          <w:shd w:val="clear" w:color="auto" w:fill="FFFFFF"/>
          <w:lang w:val="en-CA"/>
        </w:rPr>
        <w:t>difference</w:t>
      </w:r>
      <w:r w:rsidR="00D42A56">
        <w:rPr>
          <w:rFonts w:ascii="Times New Roman" w:hAnsi="Times New Roman" w:cs="Times New Roman"/>
          <w:shd w:val="clear" w:color="auto" w:fill="FFFFFF"/>
          <w:lang w:val="en-CA"/>
        </w:rPr>
        <w:t xml:space="preserve"> among countries</w:t>
      </w:r>
      <w:r w:rsidR="00B759CA">
        <w:rPr>
          <w:rFonts w:ascii="Times New Roman" w:hAnsi="Times New Roman" w:cs="Times New Roman"/>
          <w:shd w:val="clear" w:color="auto" w:fill="FFFFFF"/>
          <w:lang w:val="en-CA"/>
        </w:rPr>
        <w:t>, some authors use a Kakwani index, which</w:t>
      </w:r>
      <w:r w:rsidR="00466235">
        <w:rPr>
          <w:rFonts w:ascii="Times New Roman" w:hAnsi="Times New Roman" w:cs="Times New Roman"/>
          <w:shd w:val="clear" w:color="auto" w:fill="FFFFFF"/>
          <w:lang w:val="en-CA"/>
        </w:rPr>
        <w:t xml:space="preserve"> takes into account the dist</w:t>
      </w:r>
      <w:r w:rsidR="003D50CC">
        <w:rPr>
          <w:rFonts w:ascii="Times New Roman" w:hAnsi="Times New Roman" w:cs="Times New Roman"/>
          <w:shd w:val="clear" w:color="auto" w:fill="FFFFFF"/>
          <w:lang w:val="en-CA"/>
        </w:rPr>
        <w:t>ribution of income by sub</w:t>
      </w:r>
      <w:r w:rsidR="00466235">
        <w:rPr>
          <w:rFonts w:ascii="Times New Roman" w:hAnsi="Times New Roman" w:cs="Times New Roman"/>
          <w:shd w:val="clear" w:color="auto" w:fill="FFFFFF"/>
          <w:lang w:val="en-CA"/>
        </w:rPr>
        <w:t xml:space="preserve">tracting the </w:t>
      </w:r>
      <w:r w:rsidR="003D50CC">
        <w:rPr>
          <w:rFonts w:ascii="Times New Roman" w:hAnsi="Times New Roman" w:cs="Times New Roman"/>
          <w:shd w:val="clear" w:color="auto" w:fill="FFFFFF"/>
          <w:lang w:val="en-CA"/>
        </w:rPr>
        <w:t>G</w:t>
      </w:r>
      <w:r w:rsidR="00466235">
        <w:rPr>
          <w:rFonts w:ascii="Times New Roman" w:hAnsi="Times New Roman" w:cs="Times New Roman"/>
          <w:shd w:val="clear" w:color="auto" w:fill="FFFFFF"/>
          <w:lang w:val="en-CA"/>
        </w:rPr>
        <w:t>ini index of income from the concentration coefficient</w:t>
      </w:r>
      <w:r w:rsidR="00B759CA">
        <w:rPr>
          <w:rFonts w:ascii="Times New Roman" w:hAnsi="Times New Roman" w:cs="Times New Roman"/>
          <w:shd w:val="clear" w:color="auto" w:fill="FFFFFF"/>
          <w:lang w:val="en-CA"/>
        </w:rPr>
        <w:t xml:space="preserve"> </w:t>
      </w:r>
      <w:r w:rsidR="00466235">
        <w:rPr>
          <w:rFonts w:ascii="Times New Roman" w:hAnsi="Times New Roman" w:cs="Times New Roman"/>
          <w:shd w:val="clear" w:color="auto" w:fill="FFFFFF"/>
          <w:lang w:val="en-CA"/>
        </w:rPr>
        <w:t>of transfers (</w:t>
      </w:r>
      <w:r w:rsidR="00732639">
        <w:rPr>
          <w:rFonts w:ascii="Times New Roman" w:hAnsi="Times New Roman" w:cs="Times New Roman"/>
          <w:shd w:val="clear" w:color="auto" w:fill="FFFFFF"/>
          <w:lang w:val="en-CA"/>
        </w:rPr>
        <w:t>Prasad and Deng, 2009: 439).</w:t>
      </w:r>
      <w:r w:rsidR="00C22298">
        <w:rPr>
          <w:rFonts w:ascii="Times New Roman" w:hAnsi="Times New Roman" w:cs="Times New Roman"/>
          <w:shd w:val="clear" w:color="auto" w:fill="FFFFFF"/>
          <w:lang w:val="en-CA"/>
        </w:rPr>
        <w:t xml:space="preserve"> For our data, </w:t>
      </w:r>
      <w:r w:rsidR="00E95796">
        <w:rPr>
          <w:rFonts w:ascii="Times New Roman" w:hAnsi="Times New Roman" w:cs="Times New Roman"/>
          <w:shd w:val="clear" w:color="auto" w:fill="FFFFFF"/>
          <w:lang w:val="en-CA"/>
        </w:rPr>
        <w:t xml:space="preserve">however, </w:t>
      </w:r>
      <w:r w:rsidR="00C22298">
        <w:rPr>
          <w:rFonts w:ascii="Times New Roman" w:hAnsi="Times New Roman" w:cs="Times New Roman"/>
          <w:shd w:val="clear" w:color="auto" w:fill="FFFFFF"/>
          <w:lang w:val="en-CA"/>
        </w:rPr>
        <w:lastRenderedPageBreak/>
        <w:t>this operation</w:t>
      </w:r>
      <w:r w:rsidR="00F34C71">
        <w:rPr>
          <w:rFonts w:ascii="Times New Roman" w:hAnsi="Times New Roman" w:cs="Times New Roman"/>
          <w:shd w:val="clear" w:color="auto" w:fill="FFFFFF"/>
          <w:lang w:val="en-CA"/>
        </w:rPr>
        <w:t xml:space="preserve"> would make</w:t>
      </w:r>
      <w:r w:rsidR="00C22298">
        <w:rPr>
          <w:rFonts w:ascii="Times New Roman" w:hAnsi="Times New Roman" w:cs="Times New Roman"/>
          <w:shd w:val="clear" w:color="auto" w:fill="FFFFFF"/>
          <w:lang w:val="en-CA"/>
        </w:rPr>
        <w:t xml:space="preserve"> little difference</w:t>
      </w:r>
      <w:r w:rsidR="00E317FB">
        <w:rPr>
          <w:rFonts w:ascii="Times New Roman" w:hAnsi="Times New Roman" w:cs="Times New Roman"/>
          <w:shd w:val="clear" w:color="auto" w:fill="FFFFFF"/>
          <w:lang w:val="en-CA"/>
        </w:rPr>
        <w:t xml:space="preserve"> — t</w:t>
      </w:r>
      <w:r w:rsidR="00E317FB" w:rsidRPr="00B072F5">
        <w:rPr>
          <w:rFonts w:ascii="Times New Roman" w:hAnsi="Times New Roman" w:cs="Times New Roman"/>
          <w:shd w:val="clear" w:color="auto" w:fill="FFFFFF"/>
          <w:lang w:val="en-CA"/>
        </w:rPr>
        <w:t xml:space="preserve">he correlation coefficient between the untransformed concentration coefficient and the Kakwani </w:t>
      </w:r>
      <w:r w:rsidR="00E317FB">
        <w:rPr>
          <w:rFonts w:ascii="Times New Roman" w:hAnsi="Times New Roman" w:cs="Times New Roman"/>
          <w:shd w:val="clear" w:color="auto" w:fill="FFFFFF"/>
          <w:lang w:val="en-CA"/>
        </w:rPr>
        <w:t>index equals 0.98</w:t>
      </w:r>
      <w:r w:rsidR="00D77D90">
        <w:rPr>
          <w:rFonts w:ascii="Times New Roman" w:hAnsi="Times New Roman" w:cs="Times New Roman"/>
          <w:shd w:val="clear" w:color="auto" w:fill="FFFFFF"/>
          <w:lang w:val="en-CA"/>
        </w:rPr>
        <w:t>.</w:t>
      </w:r>
      <w:r w:rsidR="00523201">
        <w:rPr>
          <w:rFonts w:ascii="Times New Roman" w:hAnsi="Times New Roman" w:cs="Times New Roman"/>
          <w:shd w:val="clear" w:color="auto" w:fill="FFFFFF"/>
          <w:lang w:val="en-CA"/>
        </w:rPr>
        <w:t xml:space="preserve"> With the OECD untransformed concentration coefficient, the </w:t>
      </w:r>
      <w:r w:rsidR="00391D49">
        <w:rPr>
          <w:rFonts w:ascii="Times New Roman" w:hAnsi="Times New Roman" w:cs="Times New Roman"/>
          <w:shd w:val="clear" w:color="auto" w:fill="FFFFFF"/>
          <w:lang w:val="en-CA"/>
        </w:rPr>
        <w:t xml:space="preserve">targeting orientation of the countries in our sample ranges </w:t>
      </w:r>
      <w:r w:rsidR="00C96F9C" w:rsidRPr="007B7233">
        <w:rPr>
          <w:rFonts w:ascii="Times New Roman" w:hAnsi="Times New Roman" w:cs="Times New Roman"/>
          <w:shd w:val="clear" w:color="auto" w:fill="FFFFFF"/>
          <w:lang w:val="en-CA"/>
        </w:rPr>
        <w:t>from – 0.40 (Australia</w:t>
      </w:r>
      <w:r w:rsidR="00C96F9C">
        <w:rPr>
          <w:rFonts w:ascii="Times New Roman" w:hAnsi="Times New Roman" w:cs="Times New Roman"/>
          <w:shd w:val="clear" w:color="auto" w:fill="FFFFFF"/>
          <w:lang w:val="en-CA"/>
        </w:rPr>
        <w:t>; pro-poor</w:t>
      </w:r>
      <w:r w:rsidR="00C96F9C" w:rsidRPr="007B7233">
        <w:rPr>
          <w:rFonts w:ascii="Times New Roman" w:hAnsi="Times New Roman" w:cs="Times New Roman"/>
          <w:shd w:val="clear" w:color="auto" w:fill="FFFFFF"/>
          <w:lang w:val="en-CA"/>
        </w:rPr>
        <w:t>) to 0.25 (Portugal</w:t>
      </w:r>
      <w:r w:rsidR="00C96F9C">
        <w:rPr>
          <w:rFonts w:ascii="Times New Roman" w:hAnsi="Times New Roman" w:cs="Times New Roman"/>
          <w:shd w:val="clear" w:color="auto" w:fill="FFFFFF"/>
          <w:lang w:val="en-CA"/>
        </w:rPr>
        <w:t>; pro-rich</w:t>
      </w:r>
      <w:r w:rsidR="00C96F9C" w:rsidRPr="007B7233">
        <w:rPr>
          <w:rFonts w:ascii="Times New Roman" w:hAnsi="Times New Roman" w:cs="Times New Roman"/>
          <w:shd w:val="clear" w:color="auto" w:fill="FFFFFF"/>
          <w:lang w:val="en-CA"/>
        </w:rPr>
        <w:t>).</w:t>
      </w:r>
    </w:p>
    <w:p w14:paraId="41B3A0FF" w14:textId="77C38059" w:rsidR="00656FAE" w:rsidRPr="007B7233" w:rsidRDefault="00656FAE" w:rsidP="00656FAE">
      <w:pPr>
        <w:spacing w:line="480" w:lineRule="auto"/>
        <w:jc w:val="both"/>
        <w:rPr>
          <w:rFonts w:ascii="Times New Roman" w:hAnsi="Times New Roman" w:cs="Times New Roman"/>
          <w:shd w:val="clear" w:color="auto" w:fill="FFFFFF"/>
          <w:lang w:val="en-CA"/>
        </w:rPr>
      </w:pPr>
      <w:r w:rsidRPr="007B7233">
        <w:rPr>
          <w:rFonts w:ascii="Times New Roman" w:hAnsi="Times New Roman" w:cs="Times New Roman"/>
          <w:shd w:val="clear" w:color="auto" w:fill="FFFFFF"/>
          <w:lang w:val="en-CA"/>
        </w:rPr>
        <w:tab/>
        <w:t>To measure</w:t>
      </w:r>
      <w:r w:rsidR="00873BA3">
        <w:rPr>
          <w:rFonts w:ascii="Times New Roman" w:hAnsi="Times New Roman" w:cs="Times New Roman"/>
          <w:shd w:val="clear" w:color="auto" w:fill="FFFFFF"/>
          <w:lang w:val="en-CA"/>
        </w:rPr>
        <w:t xml:space="preserve"> the impact of the different welfare state arrangements on</w:t>
      </w:r>
      <w:r w:rsidRPr="007B7233">
        <w:rPr>
          <w:rFonts w:ascii="Times New Roman" w:hAnsi="Times New Roman" w:cs="Times New Roman"/>
          <w:shd w:val="clear" w:color="auto" w:fill="FFFFFF"/>
          <w:lang w:val="en-CA"/>
        </w:rPr>
        <w:t xml:space="preserve"> redistribution, we use</w:t>
      </w:r>
      <w:r w:rsidR="00DF73EB">
        <w:rPr>
          <w:rFonts w:ascii="Times New Roman" w:hAnsi="Times New Roman" w:cs="Times New Roman"/>
          <w:shd w:val="clear" w:color="auto" w:fill="FFFFFF"/>
          <w:lang w:val="en-CA"/>
        </w:rPr>
        <w:t xml:space="preserve"> the “standard approach” with</w:t>
      </w:r>
      <w:r w:rsidRPr="007B7233">
        <w:rPr>
          <w:rFonts w:ascii="Times New Roman" w:hAnsi="Times New Roman" w:cs="Times New Roman"/>
          <w:shd w:val="clear" w:color="auto" w:fill="FFFFFF"/>
          <w:lang w:val="en-CA"/>
        </w:rPr>
        <w:t xml:space="preserve"> OECD data (</w:t>
      </w:r>
      <w:r w:rsidR="00962D5F">
        <w:rPr>
          <w:rFonts w:ascii="Times New Roman" w:hAnsi="Times New Roman" w:cs="Times New Roman"/>
          <w:lang w:val="en-CA"/>
        </w:rPr>
        <w:t>Van Lancker</w:t>
      </w:r>
      <w:r w:rsidR="00210987">
        <w:rPr>
          <w:rFonts w:ascii="Times New Roman" w:hAnsi="Times New Roman" w:cs="Times New Roman"/>
          <w:lang w:val="en-CA"/>
        </w:rPr>
        <w:t xml:space="preserve"> et al.</w:t>
      </w:r>
      <w:r w:rsidR="00962D5F">
        <w:rPr>
          <w:rFonts w:ascii="Times New Roman" w:hAnsi="Times New Roman" w:cs="Times New Roman"/>
          <w:lang w:val="en-CA"/>
        </w:rPr>
        <w:t>, 2015</w:t>
      </w:r>
      <w:r w:rsidR="00BF1B48">
        <w:rPr>
          <w:rFonts w:ascii="Times New Roman" w:hAnsi="Times New Roman" w:cs="Times New Roman"/>
          <w:lang w:val="en-CA"/>
        </w:rPr>
        <w:t xml:space="preserve">; </w:t>
      </w:r>
      <w:r w:rsidRPr="007B7233">
        <w:rPr>
          <w:rFonts w:ascii="Times New Roman" w:hAnsi="Times New Roman" w:cs="Times New Roman"/>
          <w:shd w:val="clear" w:color="auto" w:fill="FFFFFF"/>
          <w:lang w:val="en-CA"/>
        </w:rPr>
        <w:t>OECD 2018a) and calculate relative redistribution — the Gini for market incomes minus the Gini for disposable incomes, divided by the Gini for market incomes —</w:t>
      </w:r>
      <w:r w:rsidR="00210987">
        <w:rPr>
          <w:rFonts w:ascii="Times New Roman" w:hAnsi="Times New Roman" w:cs="Times New Roman"/>
          <w:shd w:val="clear" w:color="auto" w:fill="FFFFFF"/>
          <w:lang w:val="en-CA"/>
        </w:rPr>
        <w:t xml:space="preserve"> </w:t>
      </w:r>
      <w:r w:rsidRPr="007B7233">
        <w:rPr>
          <w:rFonts w:ascii="Times New Roman" w:hAnsi="Times New Roman" w:cs="Times New Roman"/>
          <w:shd w:val="clear" w:color="auto" w:fill="FFFFFF"/>
          <w:lang w:val="en-CA"/>
        </w:rPr>
        <w:t>a measure that facilitates comparisons by taking into account different market income starting points (Causa and Hermansen</w:t>
      </w:r>
      <w:r w:rsidR="002E2B50">
        <w:rPr>
          <w:rFonts w:ascii="Times New Roman" w:hAnsi="Times New Roman" w:cs="Times New Roman"/>
          <w:shd w:val="clear" w:color="auto" w:fill="FFFFFF"/>
          <w:lang w:val="en-CA"/>
        </w:rPr>
        <w:t>,</w:t>
      </w:r>
      <w:r w:rsidRPr="007B7233">
        <w:rPr>
          <w:rFonts w:ascii="Times New Roman" w:hAnsi="Times New Roman" w:cs="Times New Roman"/>
          <w:shd w:val="clear" w:color="auto" w:fill="FFFFFF"/>
          <w:lang w:val="en-CA"/>
        </w:rPr>
        <w:t xml:space="preserve"> 2017: 24-25). We employ the same procedure for poverty reduction, using the OECD proportion of persons with an income below 50% of the median, before and after taxes and transfers. These measures of redistribution are not perfect, because they rest on the unlikely assumption that the market distribution of income is unaffected by the welfare state, but they remain the best available (Esping-Andersen and Myles</w:t>
      </w:r>
      <w:r w:rsidR="002D7A14">
        <w:rPr>
          <w:rFonts w:ascii="Times New Roman" w:hAnsi="Times New Roman" w:cs="Times New Roman"/>
          <w:shd w:val="clear" w:color="auto" w:fill="FFFFFF"/>
          <w:lang w:val="en-CA"/>
        </w:rPr>
        <w:t>,</w:t>
      </w:r>
      <w:r w:rsidRPr="007B7233">
        <w:rPr>
          <w:rFonts w:ascii="Times New Roman" w:hAnsi="Times New Roman" w:cs="Times New Roman"/>
          <w:shd w:val="clear" w:color="auto" w:fill="FFFFFF"/>
          <w:lang w:val="en-CA"/>
        </w:rPr>
        <w:t xml:space="preserve"> 2009).</w:t>
      </w:r>
      <w:r w:rsidR="00243412">
        <w:rPr>
          <w:rFonts w:ascii="Times New Roman" w:hAnsi="Times New Roman" w:cs="Times New Roman"/>
          <w:shd w:val="clear" w:color="auto" w:fill="FFFFFF"/>
          <w:lang w:val="en-CA"/>
        </w:rPr>
        <w:t xml:space="preserve"> Section three </w:t>
      </w:r>
      <w:r w:rsidR="00B47EB7">
        <w:rPr>
          <w:rFonts w:ascii="Times New Roman" w:hAnsi="Times New Roman" w:cs="Times New Roman"/>
          <w:shd w:val="clear" w:color="auto" w:fill="FFFFFF"/>
          <w:lang w:val="en-CA"/>
        </w:rPr>
        <w:t xml:space="preserve">considers </w:t>
      </w:r>
      <w:r w:rsidR="00243412">
        <w:rPr>
          <w:rFonts w:ascii="Times New Roman" w:hAnsi="Times New Roman" w:cs="Times New Roman"/>
          <w:shd w:val="clear" w:color="auto" w:fill="FFFFFF"/>
          <w:lang w:val="en-CA"/>
        </w:rPr>
        <w:t>alternative measurement of concentration coefficients and income redistribution that do not change the main relationship</w:t>
      </w:r>
      <w:r w:rsidR="002D7A14">
        <w:rPr>
          <w:rFonts w:ascii="Times New Roman" w:hAnsi="Times New Roman" w:cs="Times New Roman"/>
          <w:shd w:val="clear" w:color="auto" w:fill="FFFFFF"/>
          <w:lang w:val="en-CA"/>
        </w:rPr>
        <w:t>s</w:t>
      </w:r>
      <w:r w:rsidR="00243412">
        <w:rPr>
          <w:rFonts w:ascii="Times New Roman" w:hAnsi="Times New Roman" w:cs="Times New Roman"/>
          <w:shd w:val="clear" w:color="auto" w:fill="FFFFFF"/>
          <w:lang w:val="en-CA"/>
        </w:rPr>
        <w:t xml:space="preserve"> between universalism, targeting</w:t>
      </w:r>
      <w:r w:rsidR="002D7A14">
        <w:rPr>
          <w:rFonts w:ascii="Times New Roman" w:hAnsi="Times New Roman" w:cs="Times New Roman"/>
          <w:shd w:val="clear" w:color="auto" w:fill="FFFFFF"/>
          <w:lang w:val="en-CA"/>
        </w:rPr>
        <w:t>,</w:t>
      </w:r>
      <w:r w:rsidR="00243412">
        <w:rPr>
          <w:rFonts w:ascii="Times New Roman" w:hAnsi="Times New Roman" w:cs="Times New Roman"/>
          <w:shd w:val="clear" w:color="auto" w:fill="FFFFFF"/>
          <w:lang w:val="en-CA"/>
        </w:rPr>
        <w:t xml:space="preserve"> and redistribution.</w:t>
      </w:r>
    </w:p>
    <w:p w14:paraId="6585D9CE" w14:textId="70FB8D9E" w:rsidR="00753E2A" w:rsidRDefault="00753E2A" w:rsidP="00F81D69">
      <w:pPr>
        <w:spacing w:line="480" w:lineRule="auto"/>
        <w:jc w:val="both"/>
        <w:rPr>
          <w:rFonts w:ascii="Times New Roman" w:hAnsi="Times New Roman" w:cs="Times New Roman"/>
          <w:shd w:val="clear" w:color="auto" w:fill="FFFFFF"/>
          <w:lang w:val="en-CA"/>
        </w:rPr>
      </w:pPr>
    </w:p>
    <w:p w14:paraId="7D74CED8" w14:textId="48BFD890" w:rsidR="00851759" w:rsidRDefault="00851759" w:rsidP="00851759">
      <w:pPr>
        <w:pStyle w:val="ListParagraph"/>
        <w:numPr>
          <w:ilvl w:val="1"/>
          <w:numId w:val="2"/>
        </w:numPr>
        <w:spacing w:line="480" w:lineRule="auto"/>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Evidence</w:t>
      </w:r>
    </w:p>
    <w:p w14:paraId="02E3F3CB" w14:textId="77777777" w:rsidR="00851759" w:rsidRPr="00851759" w:rsidRDefault="00851759" w:rsidP="00851759">
      <w:pPr>
        <w:pStyle w:val="ListParagraph"/>
        <w:spacing w:line="480" w:lineRule="auto"/>
        <w:ind w:left="792"/>
        <w:jc w:val="both"/>
        <w:rPr>
          <w:rFonts w:ascii="Times New Roman" w:hAnsi="Times New Roman" w:cs="Times New Roman"/>
          <w:shd w:val="clear" w:color="auto" w:fill="FFFFFF"/>
          <w:lang w:val="en-CA"/>
        </w:rPr>
      </w:pPr>
    </w:p>
    <w:p w14:paraId="4A71474A" w14:textId="6FFDE50A" w:rsidR="00B63871" w:rsidRDefault="00F81D69" w:rsidP="00B63871">
      <w:pPr>
        <w:spacing w:line="480" w:lineRule="auto"/>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ab/>
      </w:r>
      <w:r w:rsidR="005E33CB" w:rsidRPr="00F81D69">
        <w:rPr>
          <w:rFonts w:ascii="Times New Roman" w:hAnsi="Times New Roman" w:cs="Times New Roman"/>
          <w:shd w:val="clear" w:color="auto" w:fill="FFFFFF"/>
          <w:lang w:val="en-CA"/>
        </w:rPr>
        <w:t>Whether they are residual or universal, welfare states can be pro-poor or not.</w:t>
      </w:r>
      <w:r w:rsidR="00EF7E06">
        <w:rPr>
          <w:rFonts w:ascii="Times New Roman" w:hAnsi="Times New Roman" w:cs="Times New Roman"/>
          <w:shd w:val="clear" w:color="auto" w:fill="FFFFFF"/>
          <w:lang w:val="en-CA"/>
        </w:rPr>
        <w:t xml:space="preserve"> </w:t>
      </w:r>
      <w:r w:rsidR="00B63871" w:rsidRPr="007B7233">
        <w:rPr>
          <w:rFonts w:ascii="Times New Roman" w:hAnsi="Times New Roman" w:cs="Times New Roman"/>
          <w:shd w:val="clear" w:color="auto" w:fill="FFFFFF"/>
          <w:lang w:val="en-CA"/>
        </w:rPr>
        <w:t>When the two dimensions are represented on a single graph,</w:t>
      </w:r>
      <w:r w:rsidR="00FF6268">
        <w:rPr>
          <w:rFonts w:ascii="Times New Roman" w:hAnsi="Times New Roman" w:cs="Times New Roman"/>
          <w:shd w:val="clear" w:color="auto" w:fill="FFFFFF"/>
          <w:lang w:val="en-CA"/>
        </w:rPr>
        <w:t xml:space="preserve"> as in Figure 1,</w:t>
      </w:r>
      <w:r w:rsidR="00B63871" w:rsidRPr="007B7233">
        <w:rPr>
          <w:rFonts w:ascii="Times New Roman" w:hAnsi="Times New Roman" w:cs="Times New Roman"/>
          <w:shd w:val="clear" w:color="auto" w:fill="FFFFFF"/>
          <w:lang w:val="en-CA"/>
        </w:rPr>
        <w:t xml:space="preserve"> it becomes clear that pro-poor targeting is not the opposite of universalism. Many universal welfare states, </w:t>
      </w:r>
      <w:r w:rsidR="00B63871" w:rsidRPr="007B7233">
        <w:rPr>
          <w:rFonts w:ascii="Times New Roman" w:hAnsi="Times New Roman" w:cs="Times New Roman"/>
          <w:shd w:val="clear" w:color="auto" w:fill="FFFFFF"/>
          <w:lang w:val="en-CA"/>
        </w:rPr>
        <w:lastRenderedPageBreak/>
        <w:t xml:space="preserve">including the four Nordic countries, </w:t>
      </w:r>
      <w:r w:rsidR="007330B7">
        <w:rPr>
          <w:rFonts w:ascii="Times New Roman" w:hAnsi="Times New Roman" w:cs="Times New Roman"/>
          <w:shd w:val="clear" w:color="auto" w:fill="FFFFFF"/>
          <w:lang w:val="en-CA"/>
        </w:rPr>
        <w:t>display</w:t>
      </w:r>
      <w:r w:rsidR="00B63871" w:rsidRPr="007B7233">
        <w:rPr>
          <w:rFonts w:ascii="Times New Roman" w:hAnsi="Times New Roman" w:cs="Times New Roman"/>
          <w:shd w:val="clear" w:color="auto" w:fill="FFFFFF"/>
          <w:lang w:val="en-CA"/>
        </w:rPr>
        <w:t xml:space="preserve"> pro-poor </w:t>
      </w:r>
      <w:r w:rsidR="007330B7">
        <w:rPr>
          <w:rFonts w:ascii="Times New Roman" w:hAnsi="Times New Roman" w:cs="Times New Roman"/>
          <w:shd w:val="clear" w:color="auto" w:fill="FFFFFF"/>
          <w:lang w:val="en-CA"/>
        </w:rPr>
        <w:t>outcomes</w:t>
      </w:r>
      <w:r w:rsidR="00B63871" w:rsidRPr="007B7233">
        <w:rPr>
          <w:rFonts w:ascii="Times New Roman" w:hAnsi="Times New Roman" w:cs="Times New Roman"/>
          <w:shd w:val="clear" w:color="auto" w:fill="FFFFFF"/>
          <w:lang w:val="en-CA"/>
        </w:rPr>
        <w:t>. At the same time, all residual welfare states except Japan also</w:t>
      </w:r>
      <w:r w:rsidR="00AF6896">
        <w:rPr>
          <w:rFonts w:ascii="Times New Roman" w:hAnsi="Times New Roman" w:cs="Times New Roman"/>
          <w:shd w:val="clear" w:color="auto" w:fill="FFFFFF"/>
          <w:lang w:val="en-CA"/>
        </w:rPr>
        <w:t xml:space="preserve"> have</w:t>
      </w:r>
      <w:r w:rsidR="00B63871" w:rsidRPr="007B7233">
        <w:rPr>
          <w:rFonts w:ascii="Times New Roman" w:hAnsi="Times New Roman" w:cs="Times New Roman"/>
          <w:shd w:val="clear" w:color="auto" w:fill="FFFFFF"/>
          <w:lang w:val="en-CA"/>
        </w:rPr>
        <w:t xml:space="preserve"> pro-poor </w:t>
      </w:r>
      <w:r w:rsidR="00AF6896">
        <w:rPr>
          <w:rFonts w:ascii="Times New Roman" w:hAnsi="Times New Roman" w:cs="Times New Roman"/>
          <w:shd w:val="clear" w:color="auto" w:fill="FFFFFF"/>
          <w:lang w:val="en-CA"/>
        </w:rPr>
        <w:t>outcomes</w:t>
      </w:r>
      <w:r w:rsidR="00B63871" w:rsidRPr="007B7233">
        <w:rPr>
          <w:rFonts w:ascii="Times New Roman" w:hAnsi="Times New Roman" w:cs="Times New Roman"/>
          <w:shd w:val="clear" w:color="auto" w:fill="FFFFFF"/>
          <w:lang w:val="en-CA"/>
        </w:rPr>
        <w:t>. From this standpoint, four welfare state profiles can be drawn: universalism (Austria, France, Germany</w:t>
      </w:r>
      <w:r w:rsidR="00955472">
        <w:rPr>
          <w:rFonts w:ascii="Times New Roman" w:hAnsi="Times New Roman" w:cs="Times New Roman"/>
          <w:shd w:val="clear" w:color="auto" w:fill="FFFFFF"/>
          <w:lang w:val="en-CA"/>
        </w:rPr>
        <w:t>,</w:t>
      </w:r>
      <w:r w:rsidR="00B63871" w:rsidRPr="007B7233">
        <w:rPr>
          <w:rFonts w:ascii="Times New Roman" w:hAnsi="Times New Roman" w:cs="Times New Roman"/>
          <w:shd w:val="clear" w:color="auto" w:fill="FFFFFF"/>
          <w:lang w:val="en-CA"/>
        </w:rPr>
        <w:t xml:space="preserve"> and the Mediterranean countries), targeting within universalism (the Nordic countries, Belgium</w:t>
      </w:r>
      <w:r w:rsidR="00955472">
        <w:rPr>
          <w:rFonts w:ascii="Times New Roman" w:hAnsi="Times New Roman" w:cs="Times New Roman"/>
          <w:shd w:val="clear" w:color="auto" w:fill="FFFFFF"/>
          <w:lang w:val="en-CA"/>
        </w:rPr>
        <w:t>,</w:t>
      </w:r>
      <w:r w:rsidR="00B63871" w:rsidRPr="007B7233">
        <w:rPr>
          <w:rFonts w:ascii="Times New Roman" w:hAnsi="Times New Roman" w:cs="Times New Roman"/>
          <w:shd w:val="clear" w:color="auto" w:fill="FFFFFF"/>
          <w:lang w:val="en-CA"/>
        </w:rPr>
        <w:t xml:space="preserve"> and New Zealand), targeting with residualism (most English-speaking countries, the Netherlands</w:t>
      </w:r>
      <w:r w:rsidR="00955472">
        <w:rPr>
          <w:rFonts w:ascii="Times New Roman" w:hAnsi="Times New Roman" w:cs="Times New Roman"/>
          <w:shd w:val="clear" w:color="auto" w:fill="FFFFFF"/>
          <w:lang w:val="en-CA"/>
        </w:rPr>
        <w:t>,</w:t>
      </w:r>
      <w:r w:rsidR="00B63871" w:rsidRPr="007B7233">
        <w:rPr>
          <w:rFonts w:ascii="Times New Roman" w:hAnsi="Times New Roman" w:cs="Times New Roman"/>
          <w:shd w:val="clear" w:color="auto" w:fill="FFFFFF"/>
          <w:lang w:val="en-CA"/>
        </w:rPr>
        <w:t xml:space="preserve"> and Switzerland), and residualism without t</w:t>
      </w:r>
      <w:r w:rsidR="006C649C">
        <w:rPr>
          <w:rFonts w:ascii="Times New Roman" w:hAnsi="Times New Roman" w:cs="Times New Roman"/>
          <w:shd w:val="clear" w:color="auto" w:fill="FFFFFF"/>
          <w:lang w:val="en-CA"/>
        </w:rPr>
        <w:t>argeting (Japan). Universalist institutions</w:t>
      </w:r>
      <w:r w:rsidR="00B63871" w:rsidRPr="007B7233">
        <w:rPr>
          <w:rFonts w:ascii="Times New Roman" w:hAnsi="Times New Roman" w:cs="Times New Roman"/>
          <w:shd w:val="clear" w:color="auto" w:fill="FFFFFF"/>
          <w:lang w:val="en-CA"/>
        </w:rPr>
        <w:t xml:space="preserve"> and pro-poor </w:t>
      </w:r>
      <w:r w:rsidR="006C649C">
        <w:rPr>
          <w:rFonts w:ascii="Times New Roman" w:hAnsi="Times New Roman" w:cs="Times New Roman"/>
          <w:shd w:val="clear" w:color="auto" w:fill="FFFFFF"/>
          <w:lang w:val="en-CA"/>
        </w:rPr>
        <w:t>outcomes</w:t>
      </w:r>
      <w:r w:rsidR="00B63871" w:rsidRPr="007B7233">
        <w:rPr>
          <w:rFonts w:ascii="Times New Roman" w:hAnsi="Times New Roman" w:cs="Times New Roman"/>
          <w:shd w:val="clear" w:color="auto" w:fill="FFFFFF"/>
          <w:lang w:val="en-CA"/>
        </w:rPr>
        <w:t xml:space="preserve"> </w:t>
      </w:r>
      <w:r w:rsidR="007A5F4C">
        <w:rPr>
          <w:rFonts w:ascii="Times New Roman" w:hAnsi="Times New Roman" w:cs="Times New Roman"/>
          <w:shd w:val="clear" w:color="auto" w:fill="FFFFFF"/>
          <w:lang w:val="en-CA"/>
        </w:rPr>
        <w:t>represent</w:t>
      </w:r>
      <w:r w:rsidR="00B63871" w:rsidRPr="007B7233">
        <w:rPr>
          <w:rFonts w:ascii="Times New Roman" w:hAnsi="Times New Roman" w:cs="Times New Roman"/>
          <w:shd w:val="clear" w:color="auto" w:fill="FFFFFF"/>
          <w:lang w:val="en-CA"/>
        </w:rPr>
        <w:t xml:space="preserve"> distinct dimensions of the welfare state.</w:t>
      </w:r>
    </w:p>
    <w:p w14:paraId="0A47A70F" w14:textId="77777777" w:rsidR="00803301" w:rsidRDefault="00803301" w:rsidP="00803301">
      <w:pPr>
        <w:rPr>
          <w:rFonts w:ascii="Times New Roman" w:hAnsi="Times New Roman" w:cs="Times New Roman"/>
          <w:b/>
          <w:shd w:val="clear" w:color="auto" w:fill="FFFFFF"/>
          <w:lang w:val="en-CA"/>
        </w:rPr>
      </w:pPr>
    </w:p>
    <w:p w14:paraId="3734747F" w14:textId="77777777" w:rsidR="00803301" w:rsidRDefault="00803301" w:rsidP="00803301">
      <w:pPr>
        <w:rPr>
          <w:rFonts w:ascii="Times New Roman" w:hAnsi="Times New Roman" w:cs="Times New Roman"/>
          <w:b/>
          <w:shd w:val="clear" w:color="auto" w:fill="FFFFFF"/>
          <w:lang w:val="en-CA"/>
        </w:rPr>
      </w:pPr>
    </w:p>
    <w:p w14:paraId="483E2FCD" w14:textId="77777777" w:rsidR="00CC1B12" w:rsidRDefault="00CC1B12">
      <w:pPr>
        <w:rPr>
          <w:rFonts w:ascii="Times New Roman" w:hAnsi="Times New Roman" w:cs="Times New Roman"/>
          <w:b/>
          <w:shd w:val="clear" w:color="auto" w:fill="FFFFFF"/>
          <w:lang w:val="en-CA"/>
        </w:rPr>
      </w:pPr>
      <w:r>
        <w:rPr>
          <w:rFonts w:ascii="Times New Roman" w:hAnsi="Times New Roman" w:cs="Times New Roman"/>
          <w:b/>
          <w:shd w:val="clear" w:color="auto" w:fill="FFFFFF"/>
          <w:lang w:val="en-CA"/>
        </w:rPr>
        <w:br w:type="page"/>
      </w:r>
    </w:p>
    <w:p w14:paraId="49936345" w14:textId="1FACEE49" w:rsidR="00EE4E0E" w:rsidRDefault="00EE4E0E" w:rsidP="00803301">
      <w:pPr>
        <w:rPr>
          <w:rFonts w:ascii="Times New Roman" w:hAnsi="Times New Roman" w:cs="Times New Roman"/>
          <w:b/>
          <w:shd w:val="clear" w:color="auto" w:fill="FFFFFF"/>
          <w:lang w:val="en-CA"/>
        </w:rPr>
      </w:pPr>
      <w:r w:rsidRPr="007B7233">
        <w:rPr>
          <w:rFonts w:ascii="Times New Roman" w:hAnsi="Times New Roman" w:cs="Times New Roman"/>
          <w:b/>
          <w:shd w:val="clear" w:color="auto" w:fill="FFFFFF"/>
          <w:lang w:val="en-CA"/>
        </w:rPr>
        <w:lastRenderedPageBreak/>
        <w:t xml:space="preserve">Figure 1: Targeting and </w:t>
      </w:r>
      <w:r w:rsidR="00C74F38">
        <w:rPr>
          <w:rFonts w:ascii="Times New Roman" w:hAnsi="Times New Roman" w:cs="Times New Roman"/>
          <w:b/>
          <w:shd w:val="clear" w:color="auto" w:fill="FFFFFF"/>
          <w:lang w:val="en-CA"/>
        </w:rPr>
        <w:t>u</w:t>
      </w:r>
      <w:r w:rsidRPr="007B7233">
        <w:rPr>
          <w:rFonts w:ascii="Times New Roman" w:hAnsi="Times New Roman" w:cs="Times New Roman"/>
          <w:b/>
          <w:shd w:val="clear" w:color="auto" w:fill="FFFFFF"/>
          <w:lang w:val="en-CA"/>
        </w:rPr>
        <w:t xml:space="preserve">niversalism, OECD countries, </w:t>
      </w:r>
      <w:r w:rsidR="00803301">
        <w:rPr>
          <w:rFonts w:ascii="Times New Roman" w:hAnsi="Times New Roman" w:cs="Times New Roman"/>
          <w:b/>
          <w:shd w:val="clear" w:color="auto" w:fill="FFFFFF"/>
          <w:lang w:val="en-CA"/>
        </w:rPr>
        <w:t>mid-2000s</w:t>
      </w:r>
    </w:p>
    <w:p w14:paraId="37975B5D" w14:textId="77777777" w:rsidR="00C74F38" w:rsidRDefault="00C74F38" w:rsidP="00803301">
      <w:pPr>
        <w:rPr>
          <w:rFonts w:ascii="Times New Roman" w:hAnsi="Times New Roman" w:cs="Times New Roman"/>
          <w:b/>
          <w:shd w:val="clear" w:color="auto" w:fill="FFFFFF"/>
          <w:lang w:val="en-CA"/>
        </w:rPr>
      </w:pPr>
    </w:p>
    <w:p w14:paraId="142798BD" w14:textId="77777777" w:rsidR="00803301" w:rsidRPr="007B7233" w:rsidRDefault="00803301" w:rsidP="00803301">
      <w:pPr>
        <w:rPr>
          <w:rFonts w:ascii="Times New Roman" w:hAnsi="Times New Roman" w:cs="Times New Roman"/>
          <w:b/>
          <w:shd w:val="clear" w:color="auto" w:fill="FFFFFF"/>
          <w:lang w:val="en-CA"/>
        </w:rPr>
      </w:pPr>
    </w:p>
    <w:p w14:paraId="5435B058" w14:textId="080CFFEA" w:rsidR="00EE4E0E" w:rsidRPr="00F97A9A" w:rsidRDefault="007F725E" w:rsidP="00F97A9A">
      <w:pPr>
        <w:spacing w:line="480" w:lineRule="auto"/>
        <w:jc w:val="center"/>
        <w:rPr>
          <w:rFonts w:ascii="Times New Roman" w:hAnsi="Times New Roman" w:cs="Times New Roman"/>
          <w:b/>
          <w:shd w:val="clear" w:color="auto" w:fill="FFFFFF"/>
          <w:lang w:val="en-CA"/>
        </w:rPr>
      </w:pPr>
      <w:r w:rsidRPr="007F725E">
        <w:rPr>
          <w:noProof/>
        </w:rPr>
        <w:t xml:space="preserve"> </w:t>
      </w:r>
      <w:r w:rsidR="0030595A" w:rsidRPr="0030595A">
        <w:rPr>
          <w:noProof/>
        </w:rPr>
        <w:drawing>
          <wp:inline distT="0" distB="0" distL="0" distR="0" wp14:anchorId="544B465E" wp14:editId="66D7664D">
            <wp:extent cx="5029200" cy="36576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29200" cy="3657600"/>
                    </a:xfrm>
                    <a:prstGeom prst="rect">
                      <a:avLst/>
                    </a:prstGeom>
                  </pic:spPr>
                </pic:pic>
              </a:graphicData>
            </a:graphic>
          </wp:inline>
        </w:drawing>
      </w:r>
    </w:p>
    <w:p w14:paraId="2ABAF10B" w14:textId="3A390799" w:rsidR="00EE4E0E" w:rsidRPr="00CC1B12" w:rsidRDefault="00EE4E0E" w:rsidP="00EE4E0E">
      <w:pPr>
        <w:spacing w:line="480" w:lineRule="auto"/>
        <w:rPr>
          <w:rFonts w:ascii="Times New Roman" w:hAnsi="Times New Roman" w:cs="Times New Roman"/>
          <w:shd w:val="clear" w:color="auto" w:fill="FFFFFF"/>
          <w:lang w:val="en-US"/>
        </w:rPr>
      </w:pPr>
      <w:r w:rsidRPr="007B7233">
        <w:rPr>
          <w:rFonts w:ascii="Times New Roman" w:hAnsi="Times New Roman" w:cs="Times New Roman"/>
          <w:b/>
          <w:shd w:val="clear" w:color="auto" w:fill="FFFFFF"/>
        </w:rPr>
        <w:tab/>
      </w:r>
      <w:r w:rsidRPr="00CC1B12">
        <w:rPr>
          <w:rFonts w:ascii="Times New Roman" w:hAnsi="Times New Roman" w:cs="Times New Roman"/>
          <w:shd w:val="clear" w:color="auto" w:fill="FFFFFF"/>
          <w:lang w:val="en-US"/>
        </w:rPr>
        <w:t xml:space="preserve">Sources: </w:t>
      </w:r>
      <w:r w:rsidR="00C74F38" w:rsidRPr="00CC1B12">
        <w:rPr>
          <w:rFonts w:ascii="Times New Roman" w:hAnsi="Times New Roman" w:cs="Times New Roman"/>
          <w:shd w:val="clear" w:color="auto" w:fill="FFFFFF"/>
          <w:lang w:val="en-US"/>
        </w:rPr>
        <w:t>OECD, 2008: 105</w:t>
      </w:r>
      <w:r w:rsidRPr="00CC1B12">
        <w:rPr>
          <w:rFonts w:ascii="Times New Roman" w:hAnsi="Times New Roman" w:cs="Times New Roman"/>
          <w:shd w:val="clear" w:color="auto" w:fill="FFFFFF"/>
          <w:lang w:val="en-US"/>
        </w:rPr>
        <w:t>.</w:t>
      </w:r>
    </w:p>
    <w:p w14:paraId="774120BD" w14:textId="77777777" w:rsidR="00E37143" w:rsidRPr="00CC1B12" w:rsidRDefault="00E37143" w:rsidP="00EE4E0E">
      <w:pPr>
        <w:spacing w:line="480" w:lineRule="auto"/>
        <w:rPr>
          <w:rFonts w:ascii="Times New Roman" w:hAnsi="Times New Roman" w:cs="Times New Roman"/>
          <w:shd w:val="clear" w:color="auto" w:fill="FFFFFF"/>
          <w:lang w:val="en-US"/>
        </w:rPr>
      </w:pPr>
      <w:r w:rsidRPr="00CC1B12">
        <w:rPr>
          <w:rFonts w:ascii="Times New Roman" w:hAnsi="Times New Roman" w:cs="Times New Roman"/>
          <w:shd w:val="clear" w:color="auto" w:fill="FFFFFF"/>
          <w:lang w:val="en-US"/>
        </w:rPr>
        <w:tab/>
      </w:r>
    </w:p>
    <w:p w14:paraId="00FEF877" w14:textId="10FAA8D7" w:rsidR="00D90C4B" w:rsidRDefault="00E37143" w:rsidP="000827A5">
      <w:pPr>
        <w:spacing w:line="480" w:lineRule="auto"/>
        <w:ind w:firstLine="708"/>
        <w:jc w:val="both"/>
        <w:rPr>
          <w:rFonts w:ascii="Times New Roman" w:hAnsi="Times New Roman" w:cs="Times New Roman"/>
          <w:shd w:val="clear" w:color="auto" w:fill="FFFFFF"/>
          <w:lang w:val="en-CA"/>
        </w:rPr>
      </w:pPr>
      <w:r w:rsidRPr="00E37143">
        <w:rPr>
          <w:rFonts w:ascii="Times New Roman" w:hAnsi="Times New Roman" w:cs="Times New Roman"/>
          <w:shd w:val="clear" w:color="auto" w:fill="FFFFFF"/>
          <w:lang w:val="en-CA"/>
        </w:rPr>
        <w:t>The most surprising case</w:t>
      </w:r>
      <w:r w:rsidR="008A1F92">
        <w:rPr>
          <w:rFonts w:ascii="Times New Roman" w:hAnsi="Times New Roman" w:cs="Times New Roman"/>
          <w:shd w:val="clear" w:color="auto" w:fill="FFFFFF"/>
          <w:lang w:val="en-CA"/>
        </w:rPr>
        <w:t xml:space="preserve"> in Figure 1</w:t>
      </w:r>
      <w:r>
        <w:rPr>
          <w:rFonts w:ascii="Times New Roman" w:hAnsi="Times New Roman" w:cs="Times New Roman"/>
          <w:shd w:val="clear" w:color="auto" w:fill="FFFFFF"/>
          <w:lang w:val="en-CA"/>
        </w:rPr>
        <w:t xml:space="preserve"> may be that of New Zealand, a country that comes out as</w:t>
      </w:r>
      <w:r w:rsidR="00EB2C28">
        <w:rPr>
          <w:rFonts w:ascii="Times New Roman" w:hAnsi="Times New Roman" w:cs="Times New Roman"/>
          <w:shd w:val="clear" w:color="auto" w:fill="FFFFFF"/>
          <w:lang w:val="en-CA"/>
        </w:rPr>
        <w:t xml:space="preserve"> slightly</w:t>
      </w:r>
      <w:r>
        <w:rPr>
          <w:rFonts w:ascii="Times New Roman" w:hAnsi="Times New Roman" w:cs="Times New Roman"/>
          <w:shd w:val="clear" w:color="auto" w:fill="FFFFFF"/>
          <w:lang w:val="en-CA"/>
        </w:rPr>
        <w:t xml:space="preserve"> universal</w:t>
      </w:r>
      <w:r w:rsidR="008A1F92">
        <w:rPr>
          <w:rFonts w:ascii="Times New Roman" w:hAnsi="Times New Roman" w:cs="Times New Roman"/>
          <w:shd w:val="clear" w:color="auto" w:fill="FFFFFF"/>
          <w:lang w:val="en-CA"/>
        </w:rPr>
        <w:t>, contrary to its usual classification as a</w:t>
      </w:r>
      <w:r w:rsidR="00EB2C28">
        <w:rPr>
          <w:rFonts w:ascii="Times New Roman" w:hAnsi="Times New Roman" w:cs="Times New Roman"/>
          <w:shd w:val="clear" w:color="auto" w:fill="FFFFFF"/>
          <w:lang w:val="en-CA"/>
        </w:rPr>
        <w:t xml:space="preserve"> typical</w:t>
      </w:r>
      <w:r w:rsidR="00D47B0F">
        <w:rPr>
          <w:rFonts w:ascii="Times New Roman" w:hAnsi="Times New Roman" w:cs="Times New Roman"/>
          <w:shd w:val="clear" w:color="auto" w:fill="FFFFFF"/>
          <w:lang w:val="en-CA"/>
        </w:rPr>
        <w:t xml:space="preserve"> English-speaking liberal welfare state. </w:t>
      </w:r>
      <w:r w:rsidR="00083349">
        <w:rPr>
          <w:rFonts w:ascii="Times New Roman" w:hAnsi="Times New Roman" w:cs="Times New Roman"/>
          <w:shd w:val="clear" w:color="auto" w:fill="FFFFFF"/>
          <w:lang w:val="en-CA"/>
        </w:rPr>
        <w:t>For one thing, t</w:t>
      </w:r>
      <w:r w:rsidR="00480CA5">
        <w:rPr>
          <w:rFonts w:ascii="Times New Roman" w:hAnsi="Times New Roman" w:cs="Times New Roman"/>
          <w:shd w:val="clear" w:color="auto" w:fill="FFFFFF"/>
          <w:lang w:val="en-CA"/>
        </w:rPr>
        <w:t>his</w:t>
      </w:r>
      <w:r w:rsidR="00D47B0F">
        <w:rPr>
          <w:rFonts w:ascii="Times New Roman" w:hAnsi="Times New Roman" w:cs="Times New Roman"/>
          <w:shd w:val="clear" w:color="auto" w:fill="FFFFFF"/>
          <w:lang w:val="en-CA"/>
        </w:rPr>
        <w:t xml:space="preserve"> standard classification </w:t>
      </w:r>
      <w:r w:rsidR="00480CA5">
        <w:rPr>
          <w:rFonts w:ascii="Times New Roman" w:hAnsi="Times New Roman" w:cs="Times New Roman"/>
          <w:shd w:val="clear" w:color="auto" w:fill="FFFFFF"/>
          <w:lang w:val="en-CA"/>
        </w:rPr>
        <w:t xml:space="preserve">may be a bit </w:t>
      </w:r>
      <w:r w:rsidR="00EB2C28">
        <w:rPr>
          <w:rFonts w:ascii="Times New Roman" w:hAnsi="Times New Roman" w:cs="Times New Roman"/>
          <w:shd w:val="clear" w:color="auto" w:fill="FFFFFF"/>
          <w:lang w:val="en-CA"/>
        </w:rPr>
        <w:t>hasty</w:t>
      </w:r>
      <w:r w:rsidR="0021150E">
        <w:rPr>
          <w:rFonts w:ascii="Times New Roman" w:hAnsi="Times New Roman" w:cs="Times New Roman"/>
          <w:shd w:val="clear" w:color="auto" w:fill="FFFFFF"/>
          <w:lang w:val="en-CA"/>
        </w:rPr>
        <w:t xml:space="preserve">. </w:t>
      </w:r>
      <w:r w:rsidR="008614AF">
        <w:rPr>
          <w:rFonts w:ascii="Times New Roman" w:hAnsi="Times New Roman" w:cs="Times New Roman"/>
          <w:shd w:val="clear" w:color="auto" w:fill="FFFFFF"/>
          <w:lang w:val="en-CA"/>
        </w:rPr>
        <w:t>In the 1930s</w:t>
      </w:r>
      <w:r w:rsidR="0021150E">
        <w:rPr>
          <w:rFonts w:ascii="Times New Roman" w:hAnsi="Times New Roman" w:cs="Times New Roman"/>
          <w:shd w:val="clear" w:color="auto" w:fill="FFFFFF"/>
          <w:lang w:val="en-CA"/>
        </w:rPr>
        <w:t>, N</w:t>
      </w:r>
      <w:r w:rsidR="004A499A">
        <w:rPr>
          <w:rFonts w:ascii="Times New Roman" w:hAnsi="Times New Roman" w:cs="Times New Roman"/>
          <w:shd w:val="clear" w:color="auto" w:fill="FFFFFF"/>
          <w:lang w:val="en-CA"/>
        </w:rPr>
        <w:t xml:space="preserve">ew Zealand emerged as a leading welfare state and it is not clear it has entirely reverted to </w:t>
      </w:r>
      <w:r w:rsidR="00425D7E">
        <w:rPr>
          <w:rFonts w:ascii="Times New Roman" w:hAnsi="Times New Roman" w:cs="Times New Roman"/>
          <w:shd w:val="clear" w:color="auto" w:fill="FFFFFF"/>
          <w:lang w:val="en-CA"/>
        </w:rPr>
        <w:t xml:space="preserve">a residual welfare state </w:t>
      </w:r>
      <w:r w:rsidR="00B849E6">
        <w:rPr>
          <w:rFonts w:ascii="Times New Roman" w:hAnsi="Times New Roman" w:cs="Times New Roman"/>
          <w:shd w:val="clear" w:color="auto" w:fill="FFFFFF"/>
          <w:lang w:val="en-CA"/>
        </w:rPr>
        <w:t>afterward (Castles,</w:t>
      </w:r>
      <w:r w:rsidR="000C11B2">
        <w:rPr>
          <w:rFonts w:ascii="Times New Roman" w:hAnsi="Times New Roman" w:cs="Times New Roman"/>
          <w:shd w:val="clear" w:color="auto" w:fill="FFFFFF"/>
          <w:lang w:val="en-CA"/>
        </w:rPr>
        <w:t xml:space="preserve"> </w:t>
      </w:r>
      <w:r w:rsidR="00EE787C">
        <w:rPr>
          <w:rFonts w:ascii="Times New Roman" w:hAnsi="Times New Roman" w:cs="Times New Roman"/>
          <w:shd w:val="clear" w:color="auto" w:fill="FFFFFF"/>
          <w:lang w:val="en-CA"/>
        </w:rPr>
        <w:t>2010: 633-34</w:t>
      </w:r>
      <w:r w:rsidR="005276AC">
        <w:rPr>
          <w:rFonts w:ascii="Times New Roman" w:hAnsi="Times New Roman" w:cs="Times New Roman"/>
          <w:shd w:val="clear" w:color="auto" w:fill="FFFFFF"/>
          <w:lang w:val="en-CA"/>
        </w:rPr>
        <w:t xml:space="preserve">). More importantly, the country’s score for universalism reflects a particularly low level of </w:t>
      </w:r>
      <w:r w:rsidR="006549F6">
        <w:rPr>
          <w:rFonts w:ascii="Times New Roman" w:hAnsi="Times New Roman" w:cs="Times New Roman"/>
          <w:shd w:val="clear" w:color="auto" w:fill="FFFFFF"/>
          <w:lang w:val="en-CA"/>
        </w:rPr>
        <w:t xml:space="preserve">private social expenditures, which is probably tied to </w:t>
      </w:r>
      <w:r w:rsidR="000A0AAC">
        <w:rPr>
          <w:rFonts w:ascii="Times New Roman" w:hAnsi="Times New Roman" w:cs="Times New Roman"/>
          <w:shd w:val="clear" w:color="auto" w:fill="FFFFFF"/>
          <w:lang w:val="en-CA"/>
        </w:rPr>
        <w:t xml:space="preserve">a </w:t>
      </w:r>
      <w:r w:rsidR="00352F4E">
        <w:rPr>
          <w:rFonts w:ascii="Times New Roman" w:hAnsi="Times New Roman" w:cs="Times New Roman"/>
          <w:shd w:val="clear" w:color="auto" w:fill="FFFFFF"/>
          <w:lang w:val="en-CA"/>
        </w:rPr>
        <w:t>universal, flat-rate</w:t>
      </w:r>
      <w:r w:rsidR="000A0AAC">
        <w:rPr>
          <w:rFonts w:ascii="Times New Roman" w:hAnsi="Times New Roman" w:cs="Times New Roman"/>
          <w:shd w:val="clear" w:color="auto" w:fill="FFFFFF"/>
          <w:lang w:val="en-CA"/>
        </w:rPr>
        <w:t>,</w:t>
      </w:r>
      <w:r w:rsidR="00D16126">
        <w:rPr>
          <w:rFonts w:ascii="Times New Roman" w:hAnsi="Times New Roman" w:cs="Times New Roman"/>
          <w:shd w:val="clear" w:color="auto" w:fill="FFFFFF"/>
          <w:lang w:val="en-CA"/>
        </w:rPr>
        <w:t xml:space="preserve"> and generous</w:t>
      </w:r>
      <w:r w:rsidR="00473C4F">
        <w:rPr>
          <w:rFonts w:ascii="Times New Roman" w:hAnsi="Times New Roman" w:cs="Times New Roman"/>
          <w:shd w:val="clear" w:color="auto" w:fill="FFFFFF"/>
          <w:lang w:val="en-CA"/>
        </w:rPr>
        <w:t xml:space="preserve"> public</w:t>
      </w:r>
      <w:r w:rsidR="00352F4E">
        <w:rPr>
          <w:rFonts w:ascii="Times New Roman" w:hAnsi="Times New Roman" w:cs="Times New Roman"/>
          <w:shd w:val="clear" w:color="auto" w:fill="FFFFFF"/>
          <w:lang w:val="en-CA"/>
        </w:rPr>
        <w:t xml:space="preserve"> pension system </w:t>
      </w:r>
      <w:r w:rsidR="00425D7E">
        <w:rPr>
          <w:rFonts w:ascii="Times New Roman" w:hAnsi="Times New Roman" w:cs="Times New Roman"/>
          <w:shd w:val="clear" w:color="auto" w:fill="FFFFFF"/>
          <w:lang w:val="en-CA"/>
        </w:rPr>
        <w:t xml:space="preserve">that </w:t>
      </w:r>
      <w:r w:rsidR="00E47CA7">
        <w:rPr>
          <w:rFonts w:ascii="Times New Roman" w:hAnsi="Times New Roman" w:cs="Times New Roman"/>
          <w:shd w:val="clear" w:color="auto" w:fill="FFFFFF"/>
          <w:lang w:val="en-CA"/>
        </w:rPr>
        <w:t xml:space="preserve">brings the country closer to </w:t>
      </w:r>
      <w:r w:rsidR="00352F4E">
        <w:rPr>
          <w:rFonts w:ascii="Times New Roman" w:hAnsi="Times New Roman" w:cs="Times New Roman"/>
          <w:shd w:val="clear" w:color="auto" w:fill="FFFFFF"/>
          <w:lang w:val="en-CA"/>
        </w:rPr>
        <w:t xml:space="preserve">Denmark than </w:t>
      </w:r>
      <w:r w:rsidR="00E47CA7">
        <w:rPr>
          <w:rFonts w:ascii="Times New Roman" w:hAnsi="Times New Roman" w:cs="Times New Roman"/>
          <w:shd w:val="clear" w:color="auto" w:fill="FFFFFF"/>
          <w:lang w:val="en-CA"/>
        </w:rPr>
        <w:t xml:space="preserve">to other </w:t>
      </w:r>
      <w:r w:rsidR="00E538E2">
        <w:rPr>
          <w:rFonts w:ascii="Times New Roman" w:hAnsi="Times New Roman" w:cs="Times New Roman"/>
          <w:shd w:val="clear" w:color="auto" w:fill="FFFFFF"/>
          <w:lang w:val="en-CA"/>
        </w:rPr>
        <w:t xml:space="preserve">English-speaking </w:t>
      </w:r>
      <w:r w:rsidR="00E47CA7">
        <w:rPr>
          <w:rFonts w:ascii="Times New Roman" w:hAnsi="Times New Roman" w:cs="Times New Roman"/>
          <w:shd w:val="clear" w:color="auto" w:fill="FFFFFF"/>
          <w:lang w:val="en-CA"/>
        </w:rPr>
        <w:lastRenderedPageBreak/>
        <w:t>nations</w:t>
      </w:r>
      <w:r w:rsidR="00E538E2">
        <w:rPr>
          <w:rFonts w:ascii="Times New Roman" w:hAnsi="Times New Roman" w:cs="Times New Roman"/>
          <w:shd w:val="clear" w:color="auto" w:fill="FFFFFF"/>
          <w:lang w:val="en-CA"/>
        </w:rPr>
        <w:t xml:space="preserve"> (</w:t>
      </w:r>
      <w:r w:rsidR="00AF657A">
        <w:rPr>
          <w:rFonts w:ascii="Times New Roman" w:hAnsi="Times New Roman" w:cs="Times New Roman"/>
          <w:shd w:val="clear" w:color="auto" w:fill="FFFFFF"/>
          <w:lang w:val="en-CA"/>
        </w:rPr>
        <w:t xml:space="preserve">Scruggs and Allan, 2006: 62; </w:t>
      </w:r>
      <w:r w:rsidR="00F16A49">
        <w:rPr>
          <w:rFonts w:ascii="Times New Roman" w:hAnsi="Times New Roman" w:cs="Times New Roman"/>
          <w:shd w:val="clear" w:color="auto" w:fill="FFFFFF"/>
          <w:lang w:val="en-CA"/>
        </w:rPr>
        <w:t>St. John and Willmore, 2001).</w:t>
      </w:r>
      <w:r w:rsidR="009E666E">
        <w:rPr>
          <w:rFonts w:ascii="Times New Roman" w:hAnsi="Times New Roman" w:cs="Times New Roman"/>
          <w:shd w:val="clear" w:color="auto" w:fill="FFFFFF"/>
          <w:lang w:val="en-CA"/>
        </w:rPr>
        <w:t xml:space="preserve"> The other cases are largely </w:t>
      </w:r>
      <w:r w:rsidR="00CA3F25">
        <w:rPr>
          <w:rFonts w:ascii="Times New Roman" w:hAnsi="Times New Roman" w:cs="Times New Roman"/>
          <w:shd w:val="clear" w:color="auto" w:fill="FFFFFF"/>
          <w:lang w:val="en-CA"/>
        </w:rPr>
        <w:t xml:space="preserve">located </w:t>
      </w:r>
      <w:r w:rsidR="009E666E">
        <w:rPr>
          <w:rFonts w:ascii="Times New Roman" w:hAnsi="Times New Roman" w:cs="Times New Roman"/>
          <w:shd w:val="clear" w:color="auto" w:fill="FFFFFF"/>
          <w:lang w:val="en-CA"/>
        </w:rPr>
        <w:t>where one would expect.</w:t>
      </w:r>
    </w:p>
    <w:p w14:paraId="17B7714C" w14:textId="73822189" w:rsidR="000A1D58" w:rsidRDefault="000A1D58" w:rsidP="000827A5">
      <w:pPr>
        <w:spacing w:line="480" w:lineRule="auto"/>
        <w:ind w:firstLine="708"/>
        <w:jc w:val="both"/>
        <w:rPr>
          <w:rFonts w:ascii="Times New Roman" w:hAnsi="Times New Roman" w:cs="Times New Roman"/>
          <w:shd w:val="clear" w:color="auto" w:fill="FFFFFF"/>
          <w:lang w:val="en-CA"/>
        </w:rPr>
      </w:pPr>
    </w:p>
    <w:p w14:paraId="624D760F" w14:textId="58D3FBD3" w:rsidR="000A1D58" w:rsidRDefault="003F426F" w:rsidP="003F426F">
      <w:pPr>
        <w:pStyle w:val="ListParagraph"/>
        <w:numPr>
          <w:ilvl w:val="0"/>
          <w:numId w:val="2"/>
        </w:numPr>
        <w:spacing w:line="480" w:lineRule="auto"/>
        <w:jc w:val="both"/>
        <w:rPr>
          <w:rFonts w:ascii="Times New Roman" w:hAnsi="Times New Roman" w:cs="Times New Roman"/>
          <w:b/>
          <w:shd w:val="clear" w:color="auto" w:fill="FFFFFF"/>
          <w:lang w:val="en-CA"/>
        </w:rPr>
      </w:pPr>
      <w:r w:rsidRPr="00550FE7">
        <w:rPr>
          <w:rFonts w:ascii="Times New Roman" w:hAnsi="Times New Roman" w:cs="Times New Roman"/>
          <w:b/>
          <w:shd w:val="clear" w:color="auto" w:fill="FFFFFF"/>
          <w:lang w:val="en-CA"/>
        </w:rPr>
        <w:t>How is Targeti</w:t>
      </w:r>
      <w:r w:rsidR="00550FE7" w:rsidRPr="00550FE7">
        <w:rPr>
          <w:rFonts w:ascii="Times New Roman" w:hAnsi="Times New Roman" w:cs="Times New Roman"/>
          <w:b/>
          <w:shd w:val="clear" w:color="auto" w:fill="FFFFFF"/>
          <w:lang w:val="en-CA"/>
        </w:rPr>
        <w:t>ng w</w:t>
      </w:r>
      <w:r w:rsidRPr="00550FE7">
        <w:rPr>
          <w:rFonts w:ascii="Times New Roman" w:hAnsi="Times New Roman" w:cs="Times New Roman"/>
          <w:b/>
          <w:shd w:val="clear" w:color="auto" w:fill="FFFFFF"/>
          <w:lang w:val="en-CA"/>
        </w:rPr>
        <w:t>ithin Universalism Achieved?</w:t>
      </w:r>
    </w:p>
    <w:p w14:paraId="5770B86D" w14:textId="2F411A1C" w:rsidR="00550FE7" w:rsidRDefault="00550FE7" w:rsidP="00550FE7">
      <w:pPr>
        <w:spacing w:line="480" w:lineRule="auto"/>
        <w:jc w:val="both"/>
        <w:rPr>
          <w:rFonts w:ascii="Times New Roman" w:hAnsi="Times New Roman" w:cs="Times New Roman"/>
          <w:b/>
          <w:shd w:val="clear" w:color="auto" w:fill="FFFFFF"/>
          <w:lang w:val="en-CA"/>
        </w:rPr>
      </w:pPr>
    </w:p>
    <w:p w14:paraId="6F937FA8" w14:textId="719229C6" w:rsidR="00550FE7" w:rsidRDefault="00AD2E76" w:rsidP="00AD2E76">
      <w:pPr>
        <w:spacing w:line="480" w:lineRule="auto"/>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ab/>
      </w:r>
      <w:r w:rsidR="003E2502">
        <w:rPr>
          <w:rFonts w:ascii="Times New Roman" w:hAnsi="Times New Roman" w:cs="Times New Roman"/>
          <w:shd w:val="clear" w:color="auto" w:fill="FFFFFF"/>
          <w:lang w:val="en-CA"/>
        </w:rPr>
        <w:t xml:space="preserve">To achieve targeting within universalism, a country must </w:t>
      </w:r>
      <w:r w:rsidR="00B7065C">
        <w:rPr>
          <w:rFonts w:ascii="Times New Roman" w:hAnsi="Times New Roman" w:cs="Times New Roman"/>
          <w:shd w:val="clear" w:color="auto" w:fill="FFFFFF"/>
          <w:lang w:val="en-CA"/>
        </w:rPr>
        <w:t>create</w:t>
      </w:r>
      <w:r w:rsidR="007F37F0">
        <w:rPr>
          <w:rFonts w:ascii="Times New Roman" w:hAnsi="Times New Roman" w:cs="Times New Roman"/>
          <w:shd w:val="clear" w:color="auto" w:fill="FFFFFF"/>
          <w:lang w:val="en-CA"/>
        </w:rPr>
        <w:t xml:space="preserve"> universal institutions that produce pro</w:t>
      </w:r>
      <w:r w:rsidR="0045015C">
        <w:rPr>
          <w:rFonts w:ascii="Times New Roman" w:hAnsi="Times New Roman" w:cs="Times New Roman"/>
          <w:shd w:val="clear" w:color="auto" w:fill="FFFFFF"/>
          <w:lang w:val="en-CA"/>
        </w:rPr>
        <w:t>-poor outcomes</w:t>
      </w:r>
      <w:r w:rsidR="00AB7714">
        <w:rPr>
          <w:rFonts w:ascii="Times New Roman" w:hAnsi="Times New Roman" w:cs="Times New Roman"/>
          <w:shd w:val="clear" w:color="auto" w:fill="FFFFFF"/>
          <w:lang w:val="en-CA"/>
        </w:rPr>
        <w:t>,</w:t>
      </w:r>
      <w:r w:rsidR="000C3C9A">
        <w:rPr>
          <w:rFonts w:ascii="Times New Roman" w:hAnsi="Times New Roman" w:cs="Times New Roman"/>
          <w:shd w:val="clear" w:color="auto" w:fill="FFFFFF"/>
          <w:lang w:val="en-CA"/>
        </w:rPr>
        <w:t xml:space="preserve"> without</w:t>
      </w:r>
      <w:r w:rsidR="00706EAF">
        <w:rPr>
          <w:rFonts w:ascii="Times New Roman" w:hAnsi="Times New Roman" w:cs="Times New Roman"/>
          <w:shd w:val="clear" w:color="auto" w:fill="FFFFFF"/>
          <w:lang w:val="en-CA"/>
        </w:rPr>
        <w:t xml:space="preserve"> resorting</w:t>
      </w:r>
      <w:r w:rsidR="00AB7714">
        <w:rPr>
          <w:rFonts w:ascii="Times New Roman" w:hAnsi="Times New Roman" w:cs="Times New Roman"/>
          <w:shd w:val="clear" w:color="auto" w:fill="FFFFFF"/>
          <w:lang w:val="en-CA"/>
        </w:rPr>
        <w:t xml:space="preserve"> overwhelmingly</w:t>
      </w:r>
      <w:r w:rsidR="00706EAF">
        <w:rPr>
          <w:rFonts w:ascii="Times New Roman" w:hAnsi="Times New Roman" w:cs="Times New Roman"/>
          <w:shd w:val="clear" w:color="auto" w:fill="FFFFFF"/>
          <w:lang w:val="en-CA"/>
        </w:rPr>
        <w:t xml:space="preserve"> to means</w:t>
      </w:r>
      <w:r w:rsidR="00766308">
        <w:rPr>
          <w:rFonts w:ascii="Times New Roman" w:hAnsi="Times New Roman" w:cs="Times New Roman"/>
          <w:shd w:val="clear" w:color="auto" w:fill="FFFFFF"/>
          <w:lang w:val="en-CA"/>
        </w:rPr>
        <w:t xml:space="preserve"> </w:t>
      </w:r>
      <w:r w:rsidR="00706EAF">
        <w:rPr>
          <w:rFonts w:ascii="Times New Roman" w:hAnsi="Times New Roman" w:cs="Times New Roman"/>
          <w:shd w:val="clear" w:color="auto" w:fill="FFFFFF"/>
          <w:lang w:val="en-CA"/>
        </w:rPr>
        <w:t>tests</w:t>
      </w:r>
      <w:r w:rsidR="0045015C">
        <w:rPr>
          <w:rFonts w:ascii="Times New Roman" w:hAnsi="Times New Roman" w:cs="Times New Roman"/>
          <w:shd w:val="clear" w:color="auto" w:fill="FFFFFF"/>
          <w:lang w:val="en-CA"/>
        </w:rPr>
        <w:t xml:space="preserve">. </w:t>
      </w:r>
      <w:r w:rsidR="00945ECB" w:rsidRPr="007B7233">
        <w:rPr>
          <w:rFonts w:ascii="Times New Roman" w:hAnsi="Times New Roman" w:cs="Times New Roman"/>
          <w:shd w:val="clear" w:color="auto" w:fill="FFFFFF"/>
          <w:lang w:val="en-CA"/>
        </w:rPr>
        <w:t>How is pro-poor targeting possible, then, if not with a means test? How can social transfers be concentrated on the poor in a country that does not design its social transfers on the basis of earned incomes? What is the recipe for targeting within universalism?</w:t>
      </w:r>
      <w:r w:rsidR="00945ECB">
        <w:rPr>
          <w:rFonts w:ascii="Times New Roman" w:hAnsi="Times New Roman" w:cs="Times New Roman"/>
          <w:shd w:val="clear" w:color="auto" w:fill="FFFFFF"/>
          <w:lang w:val="en-CA"/>
        </w:rPr>
        <w:t xml:space="preserve"> </w:t>
      </w:r>
      <w:r w:rsidR="00E25211">
        <w:rPr>
          <w:rFonts w:ascii="Times New Roman" w:hAnsi="Times New Roman" w:cs="Times New Roman"/>
          <w:shd w:val="clear" w:color="auto" w:fill="FFFFFF"/>
          <w:lang w:val="en-CA"/>
        </w:rPr>
        <w:t>This section</w:t>
      </w:r>
      <w:r w:rsidR="00760EE1">
        <w:rPr>
          <w:rFonts w:ascii="Times New Roman" w:hAnsi="Times New Roman" w:cs="Times New Roman"/>
          <w:shd w:val="clear" w:color="auto" w:fill="FFFFFF"/>
          <w:lang w:val="en-CA"/>
        </w:rPr>
        <w:t>, which</w:t>
      </w:r>
      <w:r w:rsidR="00946AB6">
        <w:rPr>
          <w:rFonts w:ascii="Times New Roman" w:hAnsi="Times New Roman" w:cs="Times New Roman"/>
          <w:shd w:val="clear" w:color="auto" w:fill="FFFFFF"/>
          <w:lang w:val="en-CA"/>
        </w:rPr>
        <w:t xml:space="preserve"> </w:t>
      </w:r>
      <w:r w:rsidR="00760EE1">
        <w:rPr>
          <w:rFonts w:ascii="Times New Roman" w:hAnsi="Times New Roman" w:cs="Times New Roman"/>
          <w:shd w:val="clear" w:color="auto" w:fill="FFFFFF"/>
          <w:lang w:val="en-CA"/>
        </w:rPr>
        <w:t>present</w:t>
      </w:r>
      <w:r w:rsidR="00946AB6">
        <w:rPr>
          <w:rFonts w:ascii="Times New Roman" w:hAnsi="Times New Roman" w:cs="Times New Roman"/>
          <w:shd w:val="clear" w:color="auto" w:fill="FFFFFF"/>
          <w:lang w:val="en-CA"/>
        </w:rPr>
        <w:t xml:space="preserve">s </w:t>
      </w:r>
      <w:r w:rsidR="00514772">
        <w:rPr>
          <w:rFonts w:ascii="Times New Roman" w:hAnsi="Times New Roman" w:cs="Times New Roman"/>
          <w:shd w:val="clear" w:color="auto" w:fill="FFFFFF"/>
          <w:lang w:val="en-CA"/>
        </w:rPr>
        <w:t>our</w:t>
      </w:r>
      <w:r w:rsidR="00760EE1">
        <w:rPr>
          <w:rFonts w:ascii="Times New Roman" w:hAnsi="Times New Roman" w:cs="Times New Roman"/>
          <w:shd w:val="clear" w:color="auto" w:fill="FFFFFF"/>
          <w:lang w:val="en-CA"/>
        </w:rPr>
        <w:t xml:space="preserve"> </w:t>
      </w:r>
      <w:r w:rsidR="00946AB6">
        <w:rPr>
          <w:rFonts w:ascii="Times New Roman" w:hAnsi="Times New Roman" w:cs="Times New Roman"/>
          <w:shd w:val="clear" w:color="auto" w:fill="FFFFFF"/>
          <w:lang w:val="en-CA"/>
        </w:rPr>
        <w:t>main empirical contribution</w:t>
      </w:r>
      <w:r w:rsidR="00760EE1">
        <w:rPr>
          <w:rFonts w:ascii="Times New Roman" w:hAnsi="Times New Roman" w:cs="Times New Roman"/>
          <w:shd w:val="clear" w:color="auto" w:fill="FFFFFF"/>
          <w:lang w:val="en-CA"/>
        </w:rPr>
        <w:t xml:space="preserve">, </w:t>
      </w:r>
      <w:r w:rsidR="00946AB6">
        <w:rPr>
          <w:rFonts w:ascii="Times New Roman" w:hAnsi="Times New Roman" w:cs="Times New Roman"/>
          <w:shd w:val="clear" w:color="auto" w:fill="FFFFFF"/>
          <w:lang w:val="en-CA"/>
        </w:rPr>
        <w:t>shows</w:t>
      </w:r>
      <w:r w:rsidR="00E25211">
        <w:rPr>
          <w:rFonts w:ascii="Times New Roman" w:hAnsi="Times New Roman" w:cs="Times New Roman"/>
          <w:shd w:val="clear" w:color="auto" w:fill="FFFFFF"/>
          <w:lang w:val="en-CA"/>
        </w:rPr>
        <w:t xml:space="preserve"> that this</w:t>
      </w:r>
      <w:r w:rsidR="00D0597C">
        <w:rPr>
          <w:rFonts w:ascii="Times New Roman" w:hAnsi="Times New Roman" w:cs="Times New Roman"/>
          <w:shd w:val="clear" w:color="auto" w:fill="FFFFFF"/>
          <w:lang w:val="en-CA"/>
        </w:rPr>
        <w:t xml:space="preserve"> configuration</w:t>
      </w:r>
      <w:r w:rsidR="00E25211">
        <w:rPr>
          <w:rFonts w:ascii="Times New Roman" w:hAnsi="Times New Roman" w:cs="Times New Roman"/>
          <w:shd w:val="clear" w:color="auto" w:fill="FFFFFF"/>
          <w:lang w:val="en-CA"/>
        </w:rPr>
        <w:t xml:space="preserve"> </w:t>
      </w:r>
      <w:r w:rsidR="00706EAF">
        <w:rPr>
          <w:rFonts w:ascii="Times New Roman" w:hAnsi="Times New Roman" w:cs="Times New Roman"/>
          <w:shd w:val="clear" w:color="auto" w:fill="FFFFFF"/>
          <w:lang w:val="en-CA"/>
        </w:rPr>
        <w:t xml:space="preserve">can </w:t>
      </w:r>
      <w:r w:rsidR="00D0597C">
        <w:rPr>
          <w:rFonts w:ascii="Times New Roman" w:hAnsi="Times New Roman" w:cs="Times New Roman"/>
          <w:shd w:val="clear" w:color="auto" w:fill="FFFFFF"/>
          <w:lang w:val="en-CA"/>
        </w:rPr>
        <w:t>emerge</w:t>
      </w:r>
      <w:r w:rsidR="0045015C">
        <w:rPr>
          <w:rFonts w:ascii="Times New Roman" w:hAnsi="Times New Roman" w:cs="Times New Roman"/>
          <w:shd w:val="clear" w:color="auto" w:fill="FFFFFF"/>
          <w:lang w:val="en-CA"/>
        </w:rPr>
        <w:t xml:space="preserve"> when</w:t>
      </w:r>
      <w:r w:rsidR="000A0AAC" w:rsidRPr="000A0AAC">
        <w:rPr>
          <w:rFonts w:ascii="Times New Roman" w:hAnsi="Times New Roman" w:cs="Times New Roman"/>
          <w:shd w:val="clear" w:color="auto" w:fill="FFFFFF"/>
          <w:lang w:val="en-CA"/>
        </w:rPr>
        <w:t xml:space="preserve"> </w:t>
      </w:r>
      <w:r w:rsidR="000A0AAC">
        <w:rPr>
          <w:rFonts w:ascii="Times New Roman" w:hAnsi="Times New Roman" w:cs="Times New Roman"/>
          <w:shd w:val="clear" w:color="auto" w:fill="FFFFFF"/>
          <w:lang w:val="en-CA"/>
        </w:rPr>
        <w:t>old age pensions are not overwhelmingly pro-rich and when</w:t>
      </w:r>
      <w:r w:rsidR="0045015C">
        <w:rPr>
          <w:rFonts w:ascii="Times New Roman" w:hAnsi="Times New Roman" w:cs="Times New Roman"/>
          <w:shd w:val="clear" w:color="auto" w:fill="FFFFFF"/>
          <w:lang w:val="en-CA"/>
        </w:rPr>
        <w:t xml:space="preserve"> </w:t>
      </w:r>
      <w:r w:rsidR="00D606A8">
        <w:rPr>
          <w:rFonts w:ascii="Times New Roman" w:hAnsi="Times New Roman" w:cs="Times New Roman"/>
          <w:shd w:val="clear" w:color="auto" w:fill="FFFFFF"/>
          <w:lang w:val="en-CA"/>
        </w:rPr>
        <w:t>transfers aimed at working-age people are generous</w:t>
      </w:r>
      <w:r w:rsidR="00030F43">
        <w:rPr>
          <w:rFonts w:ascii="Times New Roman" w:hAnsi="Times New Roman" w:cs="Times New Roman"/>
          <w:shd w:val="clear" w:color="auto" w:fill="FFFFFF"/>
          <w:lang w:val="en-CA"/>
        </w:rPr>
        <w:t xml:space="preserve">. </w:t>
      </w:r>
    </w:p>
    <w:p w14:paraId="0DC85E8E" w14:textId="6C673C05" w:rsidR="00D7540C" w:rsidRDefault="00000065" w:rsidP="00AD2E76">
      <w:pPr>
        <w:spacing w:line="480" w:lineRule="auto"/>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ab/>
        <w:t xml:space="preserve">One cannot underestimate the importance of pensions </w:t>
      </w:r>
      <w:r w:rsidR="00233E44">
        <w:rPr>
          <w:rFonts w:ascii="Times New Roman" w:hAnsi="Times New Roman" w:cs="Times New Roman"/>
          <w:shd w:val="clear" w:color="auto" w:fill="FFFFFF"/>
          <w:lang w:val="en-CA"/>
        </w:rPr>
        <w:t xml:space="preserve">in </w:t>
      </w:r>
      <w:r w:rsidR="004D2D36">
        <w:rPr>
          <w:rFonts w:ascii="Times New Roman" w:hAnsi="Times New Roman" w:cs="Times New Roman"/>
          <w:shd w:val="clear" w:color="auto" w:fill="FFFFFF"/>
          <w:lang w:val="en-CA"/>
        </w:rPr>
        <w:t xml:space="preserve">the welfare state. </w:t>
      </w:r>
      <w:r w:rsidR="003C17D3">
        <w:rPr>
          <w:rFonts w:ascii="Times New Roman" w:hAnsi="Times New Roman" w:cs="Times New Roman"/>
          <w:shd w:val="clear" w:color="auto" w:fill="FFFFFF"/>
          <w:lang w:val="en-CA"/>
        </w:rPr>
        <w:t>On average</w:t>
      </w:r>
      <w:r w:rsidR="00742E49">
        <w:rPr>
          <w:rFonts w:ascii="Times New Roman" w:hAnsi="Times New Roman" w:cs="Times New Roman"/>
          <w:shd w:val="clear" w:color="auto" w:fill="FFFFFF"/>
          <w:lang w:val="en-CA"/>
        </w:rPr>
        <w:t>,</w:t>
      </w:r>
      <w:r w:rsidR="003C17D3">
        <w:rPr>
          <w:rFonts w:ascii="Times New Roman" w:hAnsi="Times New Roman" w:cs="Times New Roman"/>
          <w:shd w:val="clear" w:color="auto" w:fill="FFFFFF"/>
          <w:lang w:val="en-CA"/>
        </w:rPr>
        <w:t xml:space="preserve"> i</w:t>
      </w:r>
      <w:r w:rsidR="00AE75AB">
        <w:rPr>
          <w:rFonts w:ascii="Times New Roman" w:hAnsi="Times New Roman" w:cs="Times New Roman"/>
          <w:shd w:val="clear" w:color="auto" w:fill="FFFFFF"/>
          <w:lang w:val="en-CA"/>
        </w:rPr>
        <w:t xml:space="preserve">n our 21 cases, </w:t>
      </w:r>
      <w:r w:rsidR="0093240D">
        <w:rPr>
          <w:rFonts w:ascii="Times New Roman" w:hAnsi="Times New Roman" w:cs="Times New Roman"/>
          <w:shd w:val="clear" w:color="auto" w:fill="FFFFFF"/>
          <w:lang w:val="en-CA"/>
        </w:rPr>
        <w:t>spending on old age programs (pensions and survivors)</w:t>
      </w:r>
      <w:r w:rsidR="00C022E2">
        <w:rPr>
          <w:rFonts w:ascii="Times New Roman" w:hAnsi="Times New Roman" w:cs="Times New Roman"/>
          <w:shd w:val="clear" w:color="auto" w:fill="FFFFFF"/>
          <w:lang w:val="en-CA"/>
        </w:rPr>
        <w:t xml:space="preserve"> account for more than a third (37%) of social spending.</w:t>
      </w:r>
      <w:r w:rsidR="005E54CD">
        <w:rPr>
          <w:rFonts w:ascii="Times New Roman" w:hAnsi="Times New Roman" w:cs="Times New Roman"/>
          <w:shd w:val="clear" w:color="auto" w:fill="FFFFFF"/>
          <w:lang w:val="en-CA"/>
        </w:rPr>
        <w:t xml:space="preserve"> </w:t>
      </w:r>
      <w:r w:rsidR="00EB5F63">
        <w:rPr>
          <w:rFonts w:ascii="Times New Roman" w:hAnsi="Times New Roman" w:cs="Times New Roman"/>
          <w:shd w:val="clear" w:color="auto" w:fill="FFFFFF"/>
          <w:lang w:val="en-CA"/>
        </w:rPr>
        <w:t>For the old, the welfare state acts primarily as a piggy bank</w:t>
      </w:r>
      <w:r w:rsidR="00011526">
        <w:rPr>
          <w:rFonts w:ascii="Times New Roman" w:hAnsi="Times New Roman" w:cs="Times New Roman"/>
          <w:shd w:val="clear" w:color="auto" w:fill="FFFFFF"/>
          <w:lang w:val="en-CA"/>
        </w:rPr>
        <w:t>, seeking to replace</w:t>
      </w:r>
      <w:r w:rsidR="00F03E75">
        <w:rPr>
          <w:rFonts w:ascii="Times New Roman" w:hAnsi="Times New Roman" w:cs="Times New Roman"/>
          <w:shd w:val="clear" w:color="auto" w:fill="FFFFFF"/>
          <w:lang w:val="en-CA"/>
        </w:rPr>
        <w:t xml:space="preserve"> and maintain</w:t>
      </w:r>
      <w:r w:rsidR="00011526">
        <w:rPr>
          <w:rFonts w:ascii="Times New Roman" w:hAnsi="Times New Roman" w:cs="Times New Roman"/>
          <w:shd w:val="clear" w:color="auto" w:fill="FFFFFF"/>
          <w:lang w:val="en-CA"/>
        </w:rPr>
        <w:t xml:space="preserve"> lost income after retirement.</w:t>
      </w:r>
      <w:r w:rsidR="00F03E75">
        <w:rPr>
          <w:rFonts w:ascii="Times New Roman" w:hAnsi="Times New Roman" w:cs="Times New Roman"/>
          <w:shd w:val="clear" w:color="auto" w:fill="FFFFFF"/>
          <w:lang w:val="en-CA"/>
        </w:rPr>
        <w:t xml:space="preserve"> </w:t>
      </w:r>
      <w:r w:rsidR="00B27E20">
        <w:rPr>
          <w:rFonts w:ascii="Times New Roman" w:hAnsi="Times New Roman" w:cs="Times New Roman"/>
          <w:shd w:val="clear" w:color="auto" w:fill="FFFFFF"/>
          <w:lang w:val="en-CA"/>
        </w:rPr>
        <w:t>In programs for</w:t>
      </w:r>
      <w:r w:rsidR="00F03E75">
        <w:rPr>
          <w:rFonts w:ascii="Times New Roman" w:hAnsi="Times New Roman" w:cs="Times New Roman"/>
          <w:shd w:val="clear" w:color="auto" w:fill="FFFFFF"/>
          <w:lang w:val="en-CA"/>
        </w:rPr>
        <w:t xml:space="preserve"> working age adults</w:t>
      </w:r>
      <w:r w:rsidR="00B27E20">
        <w:rPr>
          <w:rFonts w:ascii="Times New Roman" w:hAnsi="Times New Roman" w:cs="Times New Roman"/>
          <w:shd w:val="clear" w:color="auto" w:fill="FFFFFF"/>
          <w:lang w:val="en-CA"/>
        </w:rPr>
        <w:t xml:space="preserve">, there are also elements of income replacement (in unemployment insurance for instance) but the prevailing logic is more that </w:t>
      </w:r>
      <w:r w:rsidR="002779FA">
        <w:rPr>
          <w:rFonts w:ascii="Times New Roman" w:hAnsi="Times New Roman" w:cs="Times New Roman"/>
          <w:shd w:val="clear" w:color="auto" w:fill="FFFFFF"/>
          <w:lang w:val="en-CA"/>
        </w:rPr>
        <w:t xml:space="preserve">of a Robin Hood, taking from the rich to give to the poor (OECD, 2008: 100). </w:t>
      </w:r>
      <w:r w:rsidR="00867A51">
        <w:rPr>
          <w:rFonts w:ascii="Times New Roman" w:hAnsi="Times New Roman" w:cs="Times New Roman"/>
          <w:shd w:val="clear" w:color="auto" w:fill="FFFFFF"/>
          <w:lang w:val="en-CA"/>
        </w:rPr>
        <w:t>Universal w</w:t>
      </w:r>
      <w:r w:rsidR="0035462F">
        <w:rPr>
          <w:rFonts w:ascii="Times New Roman" w:hAnsi="Times New Roman" w:cs="Times New Roman"/>
          <w:shd w:val="clear" w:color="auto" w:fill="FFFFFF"/>
          <w:lang w:val="en-CA"/>
        </w:rPr>
        <w:t>elfare states that give</w:t>
      </w:r>
      <w:r w:rsidR="00490069">
        <w:rPr>
          <w:rFonts w:ascii="Times New Roman" w:hAnsi="Times New Roman" w:cs="Times New Roman"/>
          <w:shd w:val="clear" w:color="auto" w:fill="FFFFFF"/>
          <w:lang w:val="en-CA"/>
        </w:rPr>
        <w:t xml:space="preserve"> </w:t>
      </w:r>
      <w:r w:rsidR="002924A8">
        <w:rPr>
          <w:rFonts w:ascii="Times New Roman" w:hAnsi="Times New Roman" w:cs="Times New Roman"/>
          <w:shd w:val="clear" w:color="auto" w:fill="FFFFFF"/>
          <w:lang w:val="en-CA"/>
        </w:rPr>
        <w:t>generously</w:t>
      </w:r>
      <w:r w:rsidR="0035462F">
        <w:rPr>
          <w:rFonts w:ascii="Times New Roman" w:hAnsi="Times New Roman" w:cs="Times New Roman"/>
          <w:shd w:val="clear" w:color="auto" w:fill="FFFFFF"/>
          <w:lang w:val="en-CA"/>
        </w:rPr>
        <w:t xml:space="preserve"> to working age ad</w:t>
      </w:r>
      <w:r w:rsidR="00490069">
        <w:rPr>
          <w:rFonts w:ascii="Times New Roman" w:hAnsi="Times New Roman" w:cs="Times New Roman"/>
          <w:shd w:val="clear" w:color="auto" w:fill="FFFFFF"/>
          <w:lang w:val="en-CA"/>
        </w:rPr>
        <w:t>ults are</w:t>
      </w:r>
      <w:r w:rsidR="00D0597C">
        <w:rPr>
          <w:rFonts w:ascii="Times New Roman" w:hAnsi="Times New Roman" w:cs="Times New Roman"/>
          <w:shd w:val="clear" w:color="auto" w:fill="FFFFFF"/>
          <w:lang w:val="en-CA"/>
        </w:rPr>
        <w:t xml:space="preserve"> thus more</w:t>
      </w:r>
      <w:r w:rsidR="00490069">
        <w:rPr>
          <w:rFonts w:ascii="Times New Roman" w:hAnsi="Times New Roman" w:cs="Times New Roman"/>
          <w:shd w:val="clear" w:color="auto" w:fill="FFFFFF"/>
          <w:lang w:val="en-CA"/>
        </w:rPr>
        <w:t xml:space="preserve"> likely to have targeted outcomes</w:t>
      </w:r>
      <w:r w:rsidR="00867A51">
        <w:rPr>
          <w:rFonts w:ascii="Times New Roman" w:hAnsi="Times New Roman" w:cs="Times New Roman"/>
          <w:shd w:val="clear" w:color="auto" w:fill="FFFFFF"/>
          <w:lang w:val="en-CA"/>
        </w:rPr>
        <w:t>.</w:t>
      </w:r>
      <w:r w:rsidR="002924A8">
        <w:rPr>
          <w:rFonts w:ascii="Times New Roman" w:hAnsi="Times New Roman" w:cs="Times New Roman"/>
          <w:shd w:val="clear" w:color="auto" w:fill="FFFFFF"/>
          <w:lang w:val="en-CA"/>
        </w:rPr>
        <w:t xml:space="preserve"> This does not mean</w:t>
      </w:r>
      <w:r w:rsidR="00B83CA3">
        <w:rPr>
          <w:rFonts w:ascii="Times New Roman" w:hAnsi="Times New Roman" w:cs="Times New Roman"/>
          <w:shd w:val="clear" w:color="auto" w:fill="FFFFFF"/>
          <w:lang w:val="en-CA"/>
        </w:rPr>
        <w:t xml:space="preserve"> that</w:t>
      </w:r>
      <w:r w:rsidR="002924A8">
        <w:rPr>
          <w:rFonts w:ascii="Times New Roman" w:hAnsi="Times New Roman" w:cs="Times New Roman"/>
          <w:shd w:val="clear" w:color="auto" w:fill="FFFFFF"/>
          <w:lang w:val="en-CA"/>
        </w:rPr>
        <w:t xml:space="preserve"> there is necessarily a trade-off between </w:t>
      </w:r>
      <w:r w:rsidR="005951D4">
        <w:rPr>
          <w:rFonts w:ascii="Times New Roman" w:hAnsi="Times New Roman" w:cs="Times New Roman"/>
          <w:shd w:val="clear" w:color="auto" w:fill="FFFFFF"/>
          <w:lang w:val="en-CA"/>
        </w:rPr>
        <w:t xml:space="preserve">expenditures for the old and for working age adults. A country could spend generously on both categories and </w:t>
      </w:r>
      <w:r w:rsidR="00F46E4C">
        <w:rPr>
          <w:rFonts w:ascii="Times New Roman" w:hAnsi="Times New Roman" w:cs="Times New Roman"/>
          <w:shd w:val="clear" w:color="auto" w:fill="FFFFFF"/>
          <w:lang w:val="en-CA"/>
        </w:rPr>
        <w:t xml:space="preserve">successfully </w:t>
      </w:r>
      <w:r w:rsidR="00D0597C">
        <w:rPr>
          <w:rFonts w:ascii="Times New Roman" w:hAnsi="Times New Roman" w:cs="Times New Roman"/>
          <w:shd w:val="clear" w:color="auto" w:fill="FFFFFF"/>
          <w:lang w:val="en-CA"/>
        </w:rPr>
        <w:lastRenderedPageBreak/>
        <w:t>support</w:t>
      </w:r>
      <w:r w:rsidR="00F46E4C">
        <w:rPr>
          <w:rFonts w:ascii="Times New Roman" w:hAnsi="Times New Roman" w:cs="Times New Roman"/>
          <w:shd w:val="clear" w:color="auto" w:fill="FFFFFF"/>
          <w:lang w:val="en-CA"/>
        </w:rPr>
        <w:t xml:space="preserve"> the poor. Such an orientation, however, would come at a cost</w:t>
      </w:r>
      <w:r w:rsidR="00466F36">
        <w:rPr>
          <w:rFonts w:ascii="Times New Roman" w:hAnsi="Times New Roman" w:cs="Times New Roman"/>
          <w:shd w:val="clear" w:color="auto" w:fill="FFFFFF"/>
          <w:lang w:val="en-CA"/>
        </w:rPr>
        <w:t>,</w:t>
      </w:r>
      <w:r w:rsidR="001505EB">
        <w:rPr>
          <w:rFonts w:ascii="Times New Roman" w:hAnsi="Times New Roman" w:cs="Times New Roman"/>
          <w:shd w:val="clear" w:color="auto" w:fill="FFFFFF"/>
          <w:lang w:val="en-CA"/>
        </w:rPr>
        <w:t xml:space="preserve"> and create more significant </w:t>
      </w:r>
      <w:r w:rsidR="00BC5E1C">
        <w:rPr>
          <w:rFonts w:ascii="Times New Roman" w:hAnsi="Times New Roman" w:cs="Times New Roman"/>
          <w:shd w:val="clear" w:color="auto" w:fill="FFFFFF"/>
          <w:lang w:val="en-CA"/>
        </w:rPr>
        <w:t>constraint</w:t>
      </w:r>
      <w:r w:rsidR="00CC1D81">
        <w:rPr>
          <w:rFonts w:ascii="Times New Roman" w:hAnsi="Times New Roman" w:cs="Times New Roman"/>
          <w:shd w:val="clear" w:color="auto" w:fill="FFFFFF"/>
          <w:lang w:val="en-CA"/>
        </w:rPr>
        <w:t>s</w:t>
      </w:r>
      <w:r w:rsidR="00BC5E1C">
        <w:rPr>
          <w:rFonts w:ascii="Times New Roman" w:hAnsi="Times New Roman" w:cs="Times New Roman"/>
          <w:shd w:val="clear" w:color="auto" w:fill="FFFFFF"/>
          <w:lang w:val="en-CA"/>
        </w:rPr>
        <w:t xml:space="preserve"> on </w:t>
      </w:r>
      <w:r w:rsidR="001505EB">
        <w:rPr>
          <w:rFonts w:ascii="Times New Roman" w:hAnsi="Times New Roman" w:cs="Times New Roman"/>
          <w:shd w:val="clear" w:color="auto" w:fill="FFFFFF"/>
          <w:lang w:val="en-CA"/>
        </w:rPr>
        <w:t>public finance.</w:t>
      </w:r>
    </w:p>
    <w:p w14:paraId="0049C08C" w14:textId="24C84C34" w:rsidR="00000065" w:rsidRDefault="00D7540C" w:rsidP="00AD2E76">
      <w:pPr>
        <w:spacing w:line="480" w:lineRule="auto"/>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ab/>
        <w:t xml:space="preserve">To </w:t>
      </w:r>
      <w:r w:rsidR="00076D30">
        <w:rPr>
          <w:rFonts w:ascii="Times New Roman" w:hAnsi="Times New Roman" w:cs="Times New Roman"/>
          <w:shd w:val="clear" w:color="auto" w:fill="FFFFFF"/>
          <w:lang w:val="en-CA"/>
        </w:rPr>
        <w:t>document</w:t>
      </w:r>
      <w:r>
        <w:rPr>
          <w:rFonts w:ascii="Times New Roman" w:hAnsi="Times New Roman" w:cs="Times New Roman"/>
          <w:shd w:val="clear" w:color="auto" w:fill="FFFFFF"/>
          <w:lang w:val="en-CA"/>
        </w:rPr>
        <w:t xml:space="preserve"> this interpretation,</w:t>
      </w:r>
      <w:r w:rsidR="00B83CA3">
        <w:rPr>
          <w:rFonts w:ascii="Times New Roman" w:hAnsi="Times New Roman" w:cs="Times New Roman"/>
          <w:shd w:val="clear" w:color="auto" w:fill="FFFFFF"/>
          <w:lang w:val="en-CA"/>
        </w:rPr>
        <w:t xml:space="preserve"> we </w:t>
      </w:r>
      <w:r w:rsidR="00C461F1">
        <w:rPr>
          <w:rFonts w:ascii="Times New Roman" w:hAnsi="Times New Roman" w:cs="Times New Roman"/>
          <w:shd w:val="clear" w:color="auto" w:fill="FFFFFF"/>
          <w:lang w:val="en-CA"/>
        </w:rPr>
        <w:t xml:space="preserve">consider, </w:t>
      </w:r>
      <w:r w:rsidR="00492087">
        <w:rPr>
          <w:rFonts w:ascii="Times New Roman" w:hAnsi="Times New Roman" w:cs="Times New Roman"/>
          <w:shd w:val="clear" w:color="auto" w:fill="FFFFFF"/>
          <w:lang w:val="en-CA"/>
        </w:rPr>
        <w:t>in turn</w:t>
      </w:r>
      <w:r w:rsidR="00C461F1">
        <w:rPr>
          <w:rFonts w:ascii="Times New Roman" w:hAnsi="Times New Roman" w:cs="Times New Roman"/>
          <w:shd w:val="clear" w:color="auto" w:fill="FFFFFF"/>
          <w:lang w:val="en-CA"/>
        </w:rPr>
        <w:t xml:space="preserve">, </w:t>
      </w:r>
      <w:r w:rsidR="008F0F6E">
        <w:rPr>
          <w:rFonts w:ascii="Times New Roman" w:hAnsi="Times New Roman" w:cs="Times New Roman"/>
          <w:shd w:val="clear" w:color="auto" w:fill="FFFFFF"/>
          <w:lang w:val="en-CA"/>
        </w:rPr>
        <w:t xml:space="preserve">the relationship between old age expenditures and </w:t>
      </w:r>
      <w:r w:rsidR="00E25211">
        <w:rPr>
          <w:rFonts w:ascii="Times New Roman" w:hAnsi="Times New Roman" w:cs="Times New Roman"/>
          <w:shd w:val="clear" w:color="auto" w:fill="FFFFFF"/>
          <w:lang w:val="en-CA"/>
        </w:rPr>
        <w:t xml:space="preserve">pro-rich </w:t>
      </w:r>
      <w:r w:rsidR="00F84D41">
        <w:rPr>
          <w:rFonts w:ascii="Times New Roman" w:hAnsi="Times New Roman" w:cs="Times New Roman"/>
          <w:shd w:val="clear" w:color="auto" w:fill="FFFFFF"/>
          <w:lang w:val="en-CA"/>
        </w:rPr>
        <w:t xml:space="preserve">targeting, </w:t>
      </w:r>
      <w:r w:rsidR="00492087">
        <w:rPr>
          <w:rFonts w:ascii="Times New Roman" w:hAnsi="Times New Roman" w:cs="Times New Roman"/>
          <w:shd w:val="clear" w:color="auto" w:fill="FFFFFF"/>
          <w:lang w:val="en-CA"/>
        </w:rPr>
        <w:t xml:space="preserve">and the </w:t>
      </w:r>
      <w:r w:rsidR="00882A97">
        <w:rPr>
          <w:rFonts w:ascii="Times New Roman" w:hAnsi="Times New Roman" w:cs="Times New Roman"/>
          <w:shd w:val="clear" w:color="auto" w:fill="FFFFFF"/>
          <w:lang w:val="en-CA"/>
        </w:rPr>
        <w:t xml:space="preserve">impact </w:t>
      </w:r>
      <w:r w:rsidR="00E25211">
        <w:rPr>
          <w:rFonts w:ascii="Times New Roman" w:hAnsi="Times New Roman" w:cs="Times New Roman"/>
          <w:shd w:val="clear" w:color="auto" w:fill="FFFFFF"/>
          <w:lang w:val="en-CA"/>
        </w:rPr>
        <w:t xml:space="preserve">of </w:t>
      </w:r>
      <w:r w:rsidR="00353908">
        <w:rPr>
          <w:rFonts w:ascii="Times New Roman" w:hAnsi="Times New Roman" w:cs="Times New Roman"/>
          <w:shd w:val="clear" w:color="auto" w:fill="FFFFFF"/>
          <w:lang w:val="en-CA"/>
        </w:rPr>
        <w:t>transfers to</w:t>
      </w:r>
      <w:r w:rsidR="00882A97">
        <w:rPr>
          <w:rFonts w:ascii="Times New Roman" w:hAnsi="Times New Roman" w:cs="Times New Roman"/>
          <w:shd w:val="clear" w:color="auto" w:fill="FFFFFF"/>
          <w:lang w:val="en-CA"/>
        </w:rPr>
        <w:t xml:space="preserve"> working age</w:t>
      </w:r>
      <w:r w:rsidR="00D0597C">
        <w:rPr>
          <w:rFonts w:ascii="Times New Roman" w:hAnsi="Times New Roman" w:cs="Times New Roman"/>
          <w:shd w:val="clear" w:color="auto" w:fill="FFFFFF"/>
          <w:lang w:val="en-CA"/>
        </w:rPr>
        <w:t xml:space="preserve"> adults</w:t>
      </w:r>
      <w:r w:rsidR="00882A97">
        <w:rPr>
          <w:rFonts w:ascii="Times New Roman" w:hAnsi="Times New Roman" w:cs="Times New Roman"/>
          <w:shd w:val="clear" w:color="auto" w:fill="FFFFFF"/>
          <w:lang w:val="en-CA"/>
        </w:rPr>
        <w:t xml:space="preserve"> </w:t>
      </w:r>
      <w:r w:rsidR="00B3750C">
        <w:rPr>
          <w:rFonts w:ascii="Times New Roman" w:hAnsi="Times New Roman" w:cs="Times New Roman"/>
          <w:shd w:val="clear" w:color="auto" w:fill="FFFFFF"/>
          <w:lang w:val="en-CA"/>
        </w:rPr>
        <w:t>on the pro-poorness of public social expenditures</w:t>
      </w:r>
      <w:r w:rsidR="00492087">
        <w:rPr>
          <w:rFonts w:ascii="Times New Roman" w:hAnsi="Times New Roman" w:cs="Times New Roman"/>
          <w:shd w:val="clear" w:color="auto" w:fill="FFFFFF"/>
          <w:lang w:val="en-CA"/>
        </w:rPr>
        <w:t>.</w:t>
      </w:r>
    </w:p>
    <w:p w14:paraId="53FFBDAA" w14:textId="151BFC4D" w:rsidR="005D50A0" w:rsidRDefault="005D50A0" w:rsidP="00AD2E76">
      <w:pPr>
        <w:spacing w:line="480" w:lineRule="auto"/>
        <w:jc w:val="both"/>
        <w:rPr>
          <w:rFonts w:ascii="Times New Roman" w:hAnsi="Times New Roman" w:cs="Times New Roman"/>
          <w:shd w:val="clear" w:color="auto" w:fill="FFFFFF"/>
          <w:lang w:val="en-CA"/>
        </w:rPr>
      </w:pPr>
    </w:p>
    <w:p w14:paraId="3282A38A" w14:textId="09A1A7BF" w:rsidR="009D2EE2" w:rsidRPr="00905C2A" w:rsidRDefault="00A40317" w:rsidP="009D2EE2">
      <w:pPr>
        <w:pStyle w:val="ListParagraph"/>
        <w:numPr>
          <w:ilvl w:val="1"/>
          <w:numId w:val="2"/>
        </w:numPr>
        <w:spacing w:line="480" w:lineRule="auto"/>
        <w:jc w:val="both"/>
        <w:rPr>
          <w:rFonts w:ascii="Times New Roman" w:hAnsi="Times New Roman" w:cs="Times New Roman"/>
          <w:u w:val="single"/>
          <w:shd w:val="clear" w:color="auto" w:fill="FFFFFF"/>
          <w:lang w:val="en-CA"/>
        </w:rPr>
      </w:pPr>
      <w:r w:rsidRPr="00905C2A">
        <w:rPr>
          <w:rFonts w:ascii="Times New Roman" w:hAnsi="Times New Roman" w:cs="Times New Roman"/>
          <w:u w:val="single"/>
          <w:shd w:val="clear" w:color="auto" w:fill="FFFFFF"/>
          <w:lang w:val="en-CA"/>
        </w:rPr>
        <w:t xml:space="preserve">Old age expenditures and </w:t>
      </w:r>
      <w:r w:rsidR="002947E6" w:rsidRPr="00905C2A">
        <w:rPr>
          <w:rFonts w:ascii="Times New Roman" w:hAnsi="Times New Roman" w:cs="Times New Roman"/>
          <w:u w:val="single"/>
          <w:shd w:val="clear" w:color="auto" w:fill="FFFFFF"/>
          <w:lang w:val="en-CA"/>
        </w:rPr>
        <w:t xml:space="preserve">pro-rich </w:t>
      </w:r>
      <w:r w:rsidRPr="00905C2A">
        <w:rPr>
          <w:rFonts w:ascii="Times New Roman" w:hAnsi="Times New Roman" w:cs="Times New Roman"/>
          <w:u w:val="single"/>
          <w:shd w:val="clear" w:color="auto" w:fill="FFFFFF"/>
          <w:lang w:val="en-CA"/>
        </w:rPr>
        <w:t>targeting</w:t>
      </w:r>
    </w:p>
    <w:p w14:paraId="19AD04C2" w14:textId="6297DBF8" w:rsidR="00BC5E1C" w:rsidRDefault="00BC5E1C" w:rsidP="00BC5E1C">
      <w:pPr>
        <w:pStyle w:val="ListParagraph"/>
        <w:spacing w:line="480" w:lineRule="auto"/>
        <w:ind w:left="792"/>
        <w:jc w:val="both"/>
        <w:rPr>
          <w:rFonts w:ascii="Times New Roman" w:hAnsi="Times New Roman" w:cs="Times New Roman"/>
          <w:shd w:val="clear" w:color="auto" w:fill="FFFFFF"/>
          <w:lang w:val="en-CA"/>
        </w:rPr>
      </w:pPr>
    </w:p>
    <w:p w14:paraId="6DE59229" w14:textId="2B89ACA9" w:rsidR="006E2281" w:rsidRDefault="00731A49" w:rsidP="004A7362">
      <w:pPr>
        <w:spacing w:line="480" w:lineRule="auto"/>
        <w:ind w:firstLine="360"/>
        <w:jc w:val="both"/>
        <w:rPr>
          <w:rFonts w:ascii="Times New Roman" w:hAnsi="Times New Roman" w:cs="Times New Roman"/>
          <w:b/>
          <w:shd w:val="clear" w:color="auto" w:fill="FFFFFF"/>
          <w:lang w:val="en-CA"/>
        </w:rPr>
      </w:pPr>
      <w:r>
        <w:rPr>
          <w:rFonts w:ascii="Times New Roman" w:hAnsi="Times New Roman" w:cs="Times New Roman"/>
          <w:shd w:val="clear" w:color="auto" w:fill="FFFFFF"/>
          <w:lang w:val="en-CA"/>
        </w:rPr>
        <w:t>The</w:t>
      </w:r>
      <w:r w:rsidR="00E25211">
        <w:rPr>
          <w:rFonts w:ascii="Times New Roman" w:hAnsi="Times New Roman" w:cs="Times New Roman"/>
          <w:shd w:val="clear" w:color="auto" w:fill="FFFFFF"/>
          <w:lang w:val="en-CA"/>
        </w:rPr>
        <w:t xml:space="preserve"> level of public spending on pensions</w:t>
      </w:r>
      <w:r>
        <w:rPr>
          <w:rFonts w:ascii="Times New Roman" w:hAnsi="Times New Roman" w:cs="Times New Roman"/>
          <w:shd w:val="clear" w:color="auto" w:fill="FFFFFF"/>
          <w:lang w:val="en-CA"/>
        </w:rPr>
        <w:t xml:space="preserve"> largely</w:t>
      </w:r>
      <w:r w:rsidR="00E25211">
        <w:rPr>
          <w:rFonts w:ascii="Times New Roman" w:hAnsi="Times New Roman" w:cs="Times New Roman"/>
          <w:shd w:val="clear" w:color="auto" w:fill="FFFFFF"/>
          <w:lang w:val="en-CA"/>
        </w:rPr>
        <w:t xml:space="preserve"> explain</w:t>
      </w:r>
      <w:r>
        <w:rPr>
          <w:rFonts w:ascii="Times New Roman" w:hAnsi="Times New Roman" w:cs="Times New Roman"/>
          <w:shd w:val="clear" w:color="auto" w:fill="FFFFFF"/>
          <w:lang w:val="en-CA"/>
        </w:rPr>
        <w:t>s</w:t>
      </w:r>
      <w:r w:rsidR="00E25211">
        <w:rPr>
          <w:rFonts w:ascii="Times New Roman" w:hAnsi="Times New Roman" w:cs="Times New Roman"/>
          <w:shd w:val="clear" w:color="auto" w:fill="FFFFFF"/>
          <w:lang w:val="en-CA"/>
        </w:rPr>
        <w:t xml:space="preserve"> the concentration</w:t>
      </w:r>
      <w:r>
        <w:rPr>
          <w:rFonts w:ascii="Times New Roman" w:hAnsi="Times New Roman" w:cs="Times New Roman"/>
          <w:shd w:val="clear" w:color="auto" w:fill="FFFFFF"/>
          <w:lang w:val="en-CA"/>
        </w:rPr>
        <w:t xml:space="preserve"> coefficients of social transfers</w:t>
      </w:r>
      <w:r w:rsidR="00E25211">
        <w:rPr>
          <w:rFonts w:ascii="Times New Roman" w:hAnsi="Times New Roman" w:cs="Times New Roman"/>
          <w:shd w:val="clear" w:color="auto" w:fill="FFFFFF"/>
          <w:lang w:val="en-CA"/>
        </w:rPr>
        <w:t xml:space="preserve">. </w:t>
      </w:r>
      <w:r w:rsidR="000014A4" w:rsidRPr="009D2EE2">
        <w:rPr>
          <w:rFonts w:ascii="Times New Roman" w:hAnsi="Times New Roman" w:cs="Times New Roman"/>
          <w:shd w:val="clear" w:color="auto" w:fill="FFFFFF"/>
          <w:lang w:val="en-CA"/>
        </w:rPr>
        <w:t xml:space="preserve">Figure </w:t>
      </w:r>
      <w:r w:rsidR="006E2281">
        <w:rPr>
          <w:rFonts w:ascii="Times New Roman" w:hAnsi="Times New Roman" w:cs="Times New Roman"/>
          <w:shd w:val="clear" w:color="auto" w:fill="FFFFFF"/>
          <w:lang w:val="en-CA"/>
        </w:rPr>
        <w:t>A2, presented in the online appendix,</w:t>
      </w:r>
      <w:r w:rsidR="000014A4" w:rsidRPr="009D2EE2">
        <w:rPr>
          <w:rFonts w:ascii="Times New Roman" w:hAnsi="Times New Roman" w:cs="Times New Roman"/>
          <w:shd w:val="clear" w:color="auto" w:fill="FFFFFF"/>
          <w:lang w:val="en-CA"/>
        </w:rPr>
        <w:t xml:space="preserve"> shows</w:t>
      </w:r>
      <w:r w:rsidR="00AE1003" w:rsidRPr="009D2EE2">
        <w:rPr>
          <w:rFonts w:ascii="Times New Roman" w:hAnsi="Times New Roman" w:cs="Times New Roman"/>
          <w:shd w:val="clear" w:color="auto" w:fill="FFFFFF"/>
          <w:lang w:val="en-CA"/>
        </w:rPr>
        <w:t xml:space="preserve"> the strong relationship between a country’s public expenditures on </w:t>
      </w:r>
      <w:r w:rsidR="004500D0" w:rsidRPr="009D2EE2">
        <w:rPr>
          <w:rFonts w:ascii="Times New Roman" w:hAnsi="Times New Roman" w:cs="Times New Roman"/>
          <w:shd w:val="clear" w:color="auto" w:fill="FFFFFF"/>
          <w:lang w:val="en-CA"/>
        </w:rPr>
        <w:t>old age programs and the</w:t>
      </w:r>
      <w:r>
        <w:rPr>
          <w:rFonts w:ascii="Times New Roman" w:hAnsi="Times New Roman" w:cs="Times New Roman"/>
          <w:shd w:val="clear" w:color="auto" w:fill="FFFFFF"/>
          <w:lang w:val="en-CA"/>
        </w:rPr>
        <w:t xml:space="preserve"> overall</w:t>
      </w:r>
      <w:r w:rsidR="004500D0" w:rsidRPr="009D2EE2">
        <w:rPr>
          <w:rFonts w:ascii="Times New Roman" w:hAnsi="Times New Roman" w:cs="Times New Roman"/>
          <w:shd w:val="clear" w:color="auto" w:fill="FFFFFF"/>
          <w:lang w:val="en-CA"/>
        </w:rPr>
        <w:t xml:space="preserve"> concentration coefficient </w:t>
      </w:r>
      <w:r w:rsidR="00713D9F" w:rsidRPr="009D2EE2">
        <w:rPr>
          <w:rFonts w:ascii="Times New Roman" w:hAnsi="Times New Roman" w:cs="Times New Roman"/>
          <w:shd w:val="clear" w:color="auto" w:fill="FFFFFF"/>
          <w:lang w:val="en-CA"/>
        </w:rPr>
        <w:t>of social transfers</w:t>
      </w:r>
      <w:r w:rsidR="006E2281">
        <w:rPr>
          <w:rFonts w:ascii="Times New Roman" w:hAnsi="Times New Roman" w:cs="Times New Roman"/>
          <w:shd w:val="clear" w:color="auto" w:fill="FFFFFF"/>
          <w:lang w:val="en-CA"/>
        </w:rPr>
        <w:t xml:space="preserve"> (R = 0.78)</w:t>
      </w:r>
      <w:r w:rsidR="00713D9F" w:rsidRPr="009D2EE2">
        <w:rPr>
          <w:rFonts w:ascii="Times New Roman" w:hAnsi="Times New Roman" w:cs="Times New Roman"/>
          <w:shd w:val="clear" w:color="auto" w:fill="FFFFFF"/>
          <w:lang w:val="en-CA"/>
        </w:rPr>
        <w:t xml:space="preserve">. Countries that spend the most on </w:t>
      </w:r>
      <w:r w:rsidR="00FE0811" w:rsidRPr="009D2EE2">
        <w:rPr>
          <w:rFonts w:ascii="Times New Roman" w:hAnsi="Times New Roman" w:cs="Times New Roman"/>
          <w:shd w:val="clear" w:color="auto" w:fill="FFFFFF"/>
          <w:lang w:val="en-CA"/>
        </w:rPr>
        <w:t>the old have pro-rich transfers</w:t>
      </w:r>
      <w:r>
        <w:rPr>
          <w:rFonts w:ascii="Times New Roman" w:hAnsi="Times New Roman" w:cs="Times New Roman"/>
          <w:shd w:val="clear" w:color="auto" w:fill="FFFFFF"/>
          <w:lang w:val="en-CA"/>
        </w:rPr>
        <w:t xml:space="preserve">; </w:t>
      </w:r>
      <w:r w:rsidR="00FE0811" w:rsidRPr="009D2EE2">
        <w:rPr>
          <w:rFonts w:ascii="Times New Roman" w:hAnsi="Times New Roman" w:cs="Times New Roman"/>
          <w:shd w:val="clear" w:color="auto" w:fill="FFFFFF"/>
          <w:lang w:val="en-CA"/>
        </w:rPr>
        <w:t xml:space="preserve">countries that spend less </w:t>
      </w:r>
      <w:r w:rsidR="003C5885" w:rsidRPr="009D2EE2">
        <w:rPr>
          <w:rFonts w:ascii="Times New Roman" w:hAnsi="Times New Roman" w:cs="Times New Roman"/>
          <w:shd w:val="clear" w:color="auto" w:fill="FFFFFF"/>
          <w:lang w:val="en-CA"/>
        </w:rPr>
        <w:t>have pro-poor transfers.</w:t>
      </w:r>
      <w:r w:rsidR="00B443D3">
        <w:rPr>
          <w:rFonts w:ascii="Times New Roman" w:hAnsi="Times New Roman" w:cs="Times New Roman"/>
          <w:shd w:val="clear" w:color="auto" w:fill="FFFFFF"/>
          <w:lang w:val="en-CA"/>
        </w:rPr>
        <w:t xml:space="preserve"> If we restrict the sample to universal welfare states only, the relationship between old age expenditures and pro-poorness is just as strong (R = 0.78).</w:t>
      </w:r>
    </w:p>
    <w:p w14:paraId="54EEFB62" w14:textId="58BDECDC" w:rsidR="00737E7E" w:rsidRDefault="006E2281" w:rsidP="004A7362">
      <w:pPr>
        <w:spacing w:line="480" w:lineRule="auto"/>
        <w:jc w:val="both"/>
        <w:rPr>
          <w:rFonts w:ascii="Times New Roman" w:hAnsi="Times New Roman" w:cs="Times New Roman"/>
          <w:shd w:val="clear" w:color="auto" w:fill="FFFFFF"/>
          <w:lang w:val="en-CA"/>
        </w:rPr>
      </w:pPr>
      <w:r>
        <w:rPr>
          <w:rFonts w:ascii="Times New Roman" w:hAnsi="Times New Roman" w:cs="Times New Roman"/>
          <w:b/>
          <w:shd w:val="clear" w:color="auto" w:fill="FFFFFF"/>
          <w:lang w:val="en-CA"/>
        </w:rPr>
        <w:tab/>
      </w:r>
      <w:r w:rsidR="00737E7E">
        <w:rPr>
          <w:rFonts w:ascii="Times New Roman" w:hAnsi="Times New Roman" w:cs="Times New Roman"/>
          <w:shd w:val="clear" w:color="auto" w:fill="FFFFFF"/>
          <w:lang w:val="en-CA"/>
        </w:rPr>
        <w:t>Demography has a direct impact on the level of pension expenditures (Tepe and Vanhuysse, 2010). The more a country is old, the more it is spending on pensions and the more likely it is to display pro-rich outcomes. However, the impact of the institutional design of the pension system cannot be ignored.</w:t>
      </w:r>
    </w:p>
    <w:p w14:paraId="18A40F57" w14:textId="2F0BAD51" w:rsidR="009C3867" w:rsidRPr="007B7233" w:rsidRDefault="009C3867" w:rsidP="00741DA3">
      <w:pPr>
        <w:spacing w:line="480" w:lineRule="auto"/>
        <w:ind w:firstLine="708"/>
        <w:jc w:val="both"/>
        <w:rPr>
          <w:rFonts w:ascii="Times New Roman" w:hAnsi="Times New Roman" w:cs="Times New Roman"/>
          <w:shd w:val="clear" w:color="auto" w:fill="FFFFFF"/>
          <w:lang w:val="en-CA"/>
        </w:rPr>
      </w:pPr>
      <w:r w:rsidRPr="007B7233">
        <w:rPr>
          <w:rFonts w:ascii="Times New Roman" w:hAnsi="Times New Roman" w:cs="Times New Roman"/>
          <w:shd w:val="clear" w:color="auto" w:fill="FFFFFF"/>
          <w:lang w:val="en-CA"/>
        </w:rPr>
        <w:t>Pension systems generally have three tiers. The first one is a basic, usually flat rate benefit funded by general taxation. It can either be universal or income tested, but is always pro-poor, even when the benefits are universal and equal, because</w:t>
      </w:r>
      <w:r w:rsidR="000D2B44">
        <w:rPr>
          <w:rFonts w:ascii="Times New Roman" w:hAnsi="Times New Roman" w:cs="Times New Roman"/>
          <w:shd w:val="clear" w:color="auto" w:fill="FFFFFF"/>
          <w:lang w:val="en-CA"/>
        </w:rPr>
        <w:t xml:space="preserve"> most</w:t>
      </w:r>
      <w:r w:rsidRPr="007B7233">
        <w:rPr>
          <w:rFonts w:ascii="Times New Roman" w:hAnsi="Times New Roman" w:cs="Times New Roman"/>
          <w:shd w:val="clear" w:color="auto" w:fill="FFFFFF"/>
          <w:lang w:val="en-CA"/>
        </w:rPr>
        <w:t xml:space="preserve"> pensioners have relatively low market incomes (Joumard </w:t>
      </w:r>
      <w:r w:rsidRPr="004D1F6A">
        <w:rPr>
          <w:rFonts w:ascii="Times New Roman" w:hAnsi="Times New Roman" w:cs="Times New Roman"/>
          <w:shd w:val="clear" w:color="auto" w:fill="FFFFFF"/>
          <w:lang w:val="en-CA"/>
        </w:rPr>
        <w:t>et al</w:t>
      </w:r>
      <w:r w:rsidRPr="007B7233">
        <w:rPr>
          <w:rFonts w:ascii="Times New Roman" w:hAnsi="Times New Roman" w:cs="Times New Roman"/>
          <w:i/>
          <w:shd w:val="clear" w:color="auto" w:fill="FFFFFF"/>
          <w:lang w:val="en-CA"/>
        </w:rPr>
        <w:t>.</w:t>
      </w:r>
      <w:r w:rsidR="00F36A6D">
        <w:rPr>
          <w:rFonts w:ascii="Times New Roman" w:hAnsi="Times New Roman" w:cs="Times New Roman"/>
          <w:shd w:val="clear" w:color="auto" w:fill="FFFFFF"/>
          <w:lang w:val="en-CA"/>
        </w:rPr>
        <w:t>,</w:t>
      </w:r>
      <w:r w:rsidRPr="007B7233">
        <w:rPr>
          <w:rFonts w:ascii="Times New Roman" w:hAnsi="Times New Roman" w:cs="Times New Roman"/>
          <w:shd w:val="clear" w:color="auto" w:fill="FFFFFF"/>
          <w:lang w:val="en-CA"/>
        </w:rPr>
        <w:t xml:space="preserve"> 2012: 44). The second tier is based on an </w:t>
      </w:r>
      <w:r w:rsidRPr="007B7233">
        <w:rPr>
          <w:rFonts w:ascii="Times New Roman" w:hAnsi="Times New Roman" w:cs="Times New Roman"/>
          <w:shd w:val="clear" w:color="auto" w:fill="FFFFFF"/>
          <w:lang w:val="en-CA"/>
        </w:rPr>
        <w:lastRenderedPageBreak/>
        <w:t xml:space="preserve">insurance principle, provides income replacement, and is funded by social security contributions. This second tier </w:t>
      </w:r>
      <w:r w:rsidR="00BE7495">
        <w:rPr>
          <w:rFonts w:ascii="Times New Roman" w:hAnsi="Times New Roman" w:cs="Times New Roman"/>
          <w:shd w:val="clear" w:color="auto" w:fill="FFFFFF"/>
          <w:lang w:val="en-CA"/>
        </w:rPr>
        <w:t>can</w:t>
      </w:r>
      <w:r w:rsidRPr="007B7233">
        <w:rPr>
          <w:rFonts w:ascii="Times New Roman" w:hAnsi="Times New Roman" w:cs="Times New Roman"/>
          <w:shd w:val="clear" w:color="auto" w:fill="FFFFFF"/>
          <w:lang w:val="en-CA"/>
        </w:rPr>
        <w:t xml:space="preserve"> be strongly pro-rich, precisely because it </w:t>
      </w:r>
      <w:r w:rsidR="00BC5E1C">
        <w:rPr>
          <w:rFonts w:ascii="Times New Roman" w:hAnsi="Times New Roman" w:cs="Times New Roman"/>
          <w:shd w:val="clear" w:color="auto" w:fill="FFFFFF"/>
          <w:lang w:val="en-CA"/>
        </w:rPr>
        <w:t>aims</w:t>
      </w:r>
      <w:r w:rsidR="0064537A">
        <w:rPr>
          <w:rFonts w:ascii="Times New Roman" w:hAnsi="Times New Roman" w:cs="Times New Roman"/>
          <w:shd w:val="clear" w:color="auto" w:fill="FFFFFF"/>
          <w:lang w:val="en-CA"/>
        </w:rPr>
        <w:t xml:space="preserve"> to replac</w:t>
      </w:r>
      <w:r w:rsidR="00BC5E1C">
        <w:rPr>
          <w:rFonts w:ascii="Times New Roman" w:hAnsi="Times New Roman" w:cs="Times New Roman"/>
          <w:shd w:val="clear" w:color="auto" w:fill="FFFFFF"/>
          <w:lang w:val="en-CA"/>
        </w:rPr>
        <w:t>e</w:t>
      </w:r>
      <w:r w:rsidR="0064537A">
        <w:rPr>
          <w:rFonts w:ascii="Times New Roman" w:hAnsi="Times New Roman" w:cs="Times New Roman"/>
          <w:shd w:val="clear" w:color="auto" w:fill="FFFFFF"/>
          <w:lang w:val="en-CA"/>
        </w:rPr>
        <w:t xml:space="preserve"> pre-retirement incomes</w:t>
      </w:r>
      <w:r w:rsidRPr="007B7233">
        <w:rPr>
          <w:rFonts w:ascii="Times New Roman" w:hAnsi="Times New Roman" w:cs="Times New Roman"/>
          <w:shd w:val="clear" w:color="auto" w:fill="FFFFFF"/>
          <w:lang w:val="en-CA"/>
        </w:rPr>
        <w:t xml:space="preserve">. The third tier is a private complement and tends to be more developed when the second tier is less generous. This private third tier may contribute to inequality among the elderly (Been </w:t>
      </w:r>
      <w:r w:rsidRPr="004D1F6A">
        <w:rPr>
          <w:rFonts w:ascii="Times New Roman" w:hAnsi="Times New Roman" w:cs="Times New Roman"/>
          <w:shd w:val="clear" w:color="auto" w:fill="FFFFFF"/>
          <w:lang w:val="en-CA"/>
        </w:rPr>
        <w:t>et al.</w:t>
      </w:r>
      <w:r w:rsidR="00F36A6D">
        <w:rPr>
          <w:rFonts w:ascii="Times New Roman" w:hAnsi="Times New Roman" w:cs="Times New Roman"/>
          <w:shd w:val="clear" w:color="auto" w:fill="FFFFFF"/>
          <w:lang w:val="en-CA"/>
        </w:rPr>
        <w:t>,</w:t>
      </w:r>
      <w:r w:rsidRPr="007B7233">
        <w:rPr>
          <w:rFonts w:ascii="Times New Roman" w:hAnsi="Times New Roman" w:cs="Times New Roman"/>
          <w:shd w:val="clear" w:color="auto" w:fill="FFFFFF"/>
          <w:lang w:val="en-CA"/>
        </w:rPr>
        <w:t xml:space="preserve"> 2017</w:t>
      </w:r>
      <w:r w:rsidR="0064537A">
        <w:rPr>
          <w:rFonts w:ascii="Times New Roman" w:hAnsi="Times New Roman" w:cs="Times New Roman"/>
          <w:shd w:val="clear" w:color="auto" w:fill="FFFFFF"/>
          <w:lang w:val="en-CA"/>
        </w:rPr>
        <w:t>; Jang</w:t>
      </w:r>
      <w:r w:rsidR="00F36A6D">
        <w:rPr>
          <w:rFonts w:ascii="Times New Roman" w:hAnsi="Times New Roman" w:cs="Times New Roman"/>
          <w:shd w:val="clear" w:color="auto" w:fill="FFFFFF"/>
          <w:lang w:val="en-CA"/>
        </w:rPr>
        <w:t>,</w:t>
      </w:r>
      <w:r w:rsidR="0064537A">
        <w:rPr>
          <w:rFonts w:ascii="Times New Roman" w:hAnsi="Times New Roman" w:cs="Times New Roman"/>
          <w:shd w:val="clear" w:color="auto" w:fill="FFFFFF"/>
          <w:lang w:val="en-CA"/>
        </w:rPr>
        <w:t xml:space="preserve"> 2019</w:t>
      </w:r>
      <w:r w:rsidRPr="007B7233">
        <w:rPr>
          <w:rFonts w:ascii="Times New Roman" w:hAnsi="Times New Roman" w:cs="Times New Roman"/>
          <w:shd w:val="clear" w:color="auto" w:fill="FFFFFF"/>
          <w:lang w:val="en-CA"/>
        </w:rPr>
        <w:t>), but it has no effect on the pro-poorness of the public pension system.</w:t>
      </w:r>
      <w:r w:rsidR="00FE4A4D">
        <w:rPr>
          <w:rFonts w:ascii="Times New Roman" w:hAnsi="Times New Roman" w:cs="Times New Roman"/>
          <w:shd w:val="clear" w:color="auto" w:fill="FFFFFF"/>
          <w:lang w:val="en-CA"/>
        </w:rPr>
        <w:t xml:space="preserve"> </w:t>
      </w:r>
    </w:p>
    <w:p w14:paraId="68ED4A27" w14:textId="5D82290F" w:rsidR="009C3867" w:rsidRDefault="009C3867" w:rsidP="009C3867">
      <w:pPr>
        <w:spacing w:line="480" w:lineRule="auto"/>
        <w:jc w:val="both"/>
        <w:rPr>
          <w:rFonts w:ascii="Times New Roman" w:hAnsi="Times New Roman" w:cs="Times New Roman"/>
          <w:shd w:val="clear" w:color="auto" w:fill="FFFFFF"/>
          <w:lang w:val="en-CA"/>
        </w:rPr>
      </w:pPr>
      <w:r w:rsidRPr="007B7233">
        <w:rPr>
          <w:rFonts w:ascii="Times New Roman" w:hAnsi="Times New Roman" w:cs="Times New Roman"/>
          <w:shd w:val="clear" w:color="auto" w:fill="FFFFFF"/>
          <w:lang w:val="en-CA"/>
        </w:rPr>
        <w:tab/>
      </w:r>
      <w:r w:rsidR="00FE4A4D">
        <w:rPr>
          <w:rFonts w:ascii="Times New Roman" w:hAnsi="Times New Roman" w:cs="Times New Roman"/>
          <w:shd w:val="clear" w:color="auto" w:fill="FFFFFF"/>
          <w:lang w:val="en-CA"/>
        </w:rPr>
        <w:t>High levels of expenditures on old age cash transfers tend to generate pro-rich outcomes, because they are associated with generous second tier programs, which provide high replacement rates for pre-retirement incomes, even for those with high earnings. Thus, t</w:t>
      </w:r>
      <w:r w:rsidRPr="007B7233">
        <w:rPr>
          <w:rFonts w:ascii="Times New Roman" w:hAnsi="Times New Roman" w:cs="Times New Roman"/>
          <w:shd w:val="clear" w:color="auto" w:fill="FFFFFF"/>
          <w:lang w:val="en-CA"/>
        </w:rPr>
        <w:t>he pro-poor</w:t>
      </w:r>
      <w:r w:rsidR="00FE30B4">
        <w:rPr>
          <w:rFonts w:ascii="Times New Roman" w:hAnsi="Times New Roman" w:cs="Times New Roman"/>
          <w:shd w:val="clear" w:color="auto" w:fill="FFFFFF"/>
          <w:lang w:val="en-CA"/>
        </w:rPr>
        <w:t xml:space="preserve"> or pro-rich</w:t>
      </w:r>
      <w:r w:rsidRPr="007B7233">
        <w:rPr>
          <w:rFonts w:ascii="Times New Roman" w:hAnsi="Times New Roman" w:cs="Times New Roman"/>
          <w:shd w:val="clear" w:color="auto" w:fill="FFFFFF"/>
          <w:lang w:val="en-CA"/>
        </w:rPr>
        <w:t xml:space="preserve"> character of a pension system depends on the relative generosity of the first (assistance) and second (insurance) tiers (Joumard </w:t>
      </w:r>
      <w:r w:rsidR="00F36A6D" w:rsidRPr="00C121D0">
        <w:rPr>
          <w:rFonts w:ascii="Times New Roman" w:hAnsi="Times New Roman" w:cs="Times New Roman"/>
          <w:shd w:val="clear" w:color="auto" w:fill="FFFFFF"/>
          <w:lang w:val="en-CA"/>
        </w:rPr>
        <w:t>et al.</w:t>
      </w:r>
      <w:r w:rsidR="00F36A6D">
        <w:rPr>
          <w:rFonts w:ascii="Times New Roman" w:hAnsi="Times New Roman" w:cs="Times New Roman"/>
          <w:shd w:val="clear" w:color="auto" w:fill="FFFFFF"/>
          <w:lang w:val="en-CA"/>
        </w:rPr>
        <w:t>,</w:t>
      </w:r>
      <w:r w:rsidR="00F36A6D" w:rsidRPr="007B7233">
        <w:rPr>
          <w:rFonts w:ascii="Times New Roman" w:hAnsi="Times New Roman" w:cs="Times New Roman"/>
          <w:shd w:val="clear" w:color="auto" w:fill="FFFFFF"/>
          <w:lang w:val="en-CA"/>
        </w:rPr>
        <w:t xml:space="preserve"> </w:t>
      </w:r>
      <w:r w:rsidRPr="007B7233">
        <w:rPr>
          <w:rFonts w:ascii="Times New Roman" w:hAnsi="Times New Roman" w:cs="Times New Roman"/>
          <w:shd w:val="clear" w:color="auto" w:fill="FFFFFF"/>
          <w:lang w:val="en-CA"/>
        </w:rPr>
        <w:t xml:space="preserve">2012). Pro-poor pensions systems can be of two kinds: either they provide a flat-rate universal first tier with no second tier (New Zealand) or with a relatively meagre second tier that leaves room to a private third tier (Canada); or they combine a solid first tier with a rather generous (but not too costly) public insurance scheme (Belgium, Denmark). Pro-rich schemes, on the other hand, prioritize the insurance principle and neglect the first tier, essential for persons with low incomes. </w:t>
      </w:r>
    </w:p>
    <w:p w14:paraId="0AEC242A" w14:textId="647B10CE" w:rsidR="00AC39D8" w:rsidRDefault="009C3867" w:rsidP="009C3867">
      <w:pPr>
        <w:spacing w:line="480" w:lineRule="auto"/>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ab/>
      </w:r>
      <w:r w:rsidR="00905C2A">
        <w:rPr>
          <w:rFonts w:ascii="Times New Roman" w:hAnsi="Times New Roman" w:cs="Times New Roman"/>
          <w:shd w:val="clear" w:color="auto" w:fill="FFFFFF"/>
          <w:lang w:val="en-CA"/>
        </w:rPr>
        <w:t>Using</w:t>
      </w:r>
      <w:r>
        <w:rPr>
          <w:rFonts w:ascii="Times New Roman" w:hAnsi="Times New Roman" w:cs="Times New Roman"/>
          <w:shd w:val="clear" w:color="auto" w:fill="FFFFFF"/>
          <w:lang w:val="en-CA"/>
        </w:rPr>
        <w:t xml:space="preserve"> the OECD </w:t>
      </w:r>
      <w:r w:rsidRPr="00455C1C">
        <w:rPr>
          <w:rFonts w:ascii="Times New Roman" w:hAnsi="Times New Roman" w:cs="Times New Roman"/>
          <w:i/>
          <w:shd w:val="clear" w:color="auto" w:fill="FFFFFF"/>
          <w:lang w:val="en-CA"/>
        </w:rPr>
        <w:t>Pensions at a Glance</w:t>
      </w:r>
      <w:r>
        <w:rPr>
          <w:rFonts w:ascii="Times New Roman" w:hAnsi="Times New Roman" w:cs="Times New Roman"/>
          <w:shd w:val="clear" w:color="auto" w:fill="FFFFFF"/>
          <w:lang w:val="en-CA"/>
        </w:rPr>
        <w:t xml:space="preserve"> </w:t>
      </w:r>
      <w:r w:rsidR="00455C1C">
        <w:rPr>
          <w:rFonts w:ascii="Times New Roman" w:hAnsi="Times New Roman" w:cs="Times New Roman"/>
          <w:shd w:val="clear" w:color="auto" w:fill="FFFFFF"/>
          <w:lang w:val="en-CA"/>
        </w:rPr>
        <w:t>data</w:t>
      </w:r>
      <w:r w:rsidR="00F47394">
        <w:rPr>
          <w:rFonts w:ascii="Times New Roman" w:hAnsi="Times New Roman" w:cs="Times New Roman"/>
          <w:shd w:val="clear" w:color="auto" w:fill="FFFFFF"/>
          <w:lang w:val="en-CA"/>
        </w:rPr>
        <w:t xml:space="preserve"> (2007)</w:t>
      </w:r>
      <w:r>
        <w:rPr>
          <w:rFonts w:ascii="Times New Roman" w:hAnsi="Times New Roman" w:cs="Times New Roman"/>
          <w:shd w:val="clear" w:color="auto" w:fill="FFFFFF"/>
          <w:lang w:val="en-CA"/>
        </w:rPr>
        <w:t xml:space="preserve">, it is possible to </w:t>
      </w:r>
      <w:r w:rsidR="00455C1C">
        <w:rPr>
          <w:rFonts w:ascii="Times New Roman" w:hAnsi="Times New Roman" w:cs="Times New Roman"/>
          <w:shd w:val="clear" w:color="auto" w:fill="FFFFFF"/>
          <w:lang w:val="en-CA"/>
        </w:rPr>
        <w:t>contrast</w:t>
      </w:r>
      <w:r>
        <w:rPr>
          <w:rFonts w:ascii="Times New Roman" w:hAnsi="Times New Roman" w:cs="Times New Roman"/>
          <w:shd w:val="clear" w:color="auto" w:fill="FFFFFF"/>
          <w:lang w:val="en-CA"/>
        </w:rPr>
        <w:t xml:space="preserve"> the </w:t>
      </w:r>
      <w:r w:rsidR="00455C1C">
        <w:rPr>
          <w:rFonts w:ascii="Times New Roman" w:hAnsi="Times New Roman" w:cs="Times New Roman"/>
          <w:shd w:val="clear" w:color="auto" w:fill="FFFFFF"/>
          <w:lang w:val="en-CA"/>
        </w:rPr>
        <w:t xml:space="preserve">different </w:t>
      </w:r>
      <w:r>
        <w:rPr>
          <w:rFonts w:ascii="Times New Roman" w:hAnsi="Times New Roman" w:cs="Times New Roman"/>
          <w:shd w:val="clear" w:color="auto" w:fill="FFFFFF"/>
          <w:lang w:val="en-CA"/>
        </w:rPr>
        <w:t>pension system</w:t>
      </w:r>
      <w:r w:rsidR="00455C1C">
        <w:rPr>
          <w:rFonts w:ascii="Times New Roman" w:hAnsi="Times New Roman" w:cs="Times New Roman"/>
          <w:shd w:val="clear" w:color="auto" w:fill="FFFFFF"/>
          <w:lang w:val="en-CA"/>
        </w:rPr>
        <w:t>s</w:t>
      </w:r>
      <w:r>
        <w:rPr>
          <w:rFonts w:ascii="Times New Roman" w:hAnsi="Times New Roman" w:cs="Times New Roman"/>
          <w:shd w:val="clear" w:color="auto" w:fill="FFFFFF"/>
          <w:lang w:val="en-CA"/>
        </w:rPr>
        <w:t xml:space="preserve"> by comparing the</w:t>
      </w:r>
      <w:r w:rsidR="00EA5792">
        <w:rPr>
          <w:rFonts w:ascii="Times New Roman" w:hAnsi="Times New Roman" w:cs="Times New Roman"/>
          <w:shd w:val="clear" w:color="auto" w:fill="FFFFFF"/>
          <w:lang w:val="en-CA"/>
        </w:rPr>
        <w:t xml:space="preserve">ir </w:t>
      </w:r>
      <w:r>
        <w:rPr>
          <w:rFonts w:ascii="Times New Roman" w:hAnsi="Times New Roman" w:cs="Times New Roman"/>
          <w:shd w:val="clear" w:color="auto" w:fill="FFFFFF"/>
          <w:lang w:val="en-CA"/>
        </w:rPr>
        <w:t>net replacement</w:t>
      </w:r>
      <w:r w:rsidR="00F47394">
        <w:rPr>
          <w:rFonts w:ascii="Times New Roman" w:hAnsi="Times New Roman" w:cs="Times New Roman"/>
          <w:shd w:val="clear" w:color="auto" w:fill="FFFFFF"/>
          <w:lang w:val="en-CA"/>
        </w:rPr>
        <w:t xml:space="preserve"> rates</w:t>
      </w:r>
      <w:r w:rsidR="00EA5792">
        <w:rPr>
          <w:rFonts w:ascii="Times New Roman" w:hAnsi="Times New Roman" w:cs="Times New Roman"/>
          <w:shd w:val="clear" w:color="auto" w:fill="FFFFFF"/>
          <w:lang w:val="en-CA"/>
        </w:rPr>
        <w:t xml:space="preserve"> </w:t>
      </w:r>
      <w:r w:rsidR="00965B13">
        <w:rPr>
          <w:rFonts w:ascii="Times New Roman" w:hAnsi="Times New Roman" w:cs="Times New Roman"/>
          <w:shd w:val="clear" w:color="auto" w:fill="FFFFFF"/>
          <w:lang w:val="en-CA"/>
        </w:rPr>
        <w:t xml:space="preserve">for different </w:t>
      </w:r>
      <w:r w:rsidR="00F54E3F">
        <w:rPr>
          <w:rFonts w:ascii="Times New Roman" w:hAnsi="Times New Roman" w:cs="Times New Roman"/>
          <w:shd w:val="clear" w:color="auto" w:fill="FFFFFF"/>
          <w:lang w:val="en-CA"/>
        </w:rPr>
        <w:t>pre-retirement</w:t>
      </w:r>
      <w:r w:rsidR="00965B13">
        <w:rPr>
          <w:rFonts w:ascii="Times New Roman" w:hAnsi="Times New Roman" w:cs="Times New Roman"/>
          <w:shd w:val="clear" w:color="auto" w:fill="FFFFFF"/>
          <w:lang w:val="en-CA"/>
        </w:rPr>
        <w:t xml:space="preserve"> incomes </w:t>
      </w:r>
      <w:r>
        <w:rPr>
          <w:rFonts w:ascii="Times New Roman" w:hAnsi="Times New Roman" w:cs="Times New Roman"/>
          <w:shd w:val="clear" w:color="auto" w:fill="FFFFFF"/>
          <w:lang w:val="en-CA"/>
        </w:rPr>
        <w:t>(Jang</w:t>
      </w:r>
      <w:r w:rsidR="00EA5792">
        <w:rPr>
          <w:rFonts w:ascii="Times New Roman" w:hAnsi="Times New Roman" w:cs="Times New Roman"/>
          <w:shd w:val="clear" w:color="auto" w:fill="FFFFFF"/>
          <w:lang w:val="en-CA"/>
        </w:rPr>
        <w:t>,</w:t>
      </w:r>
      <w:r>
        <w:rPr>
          <w:rFonts w:ascii="Times New Roman" w:hAnsi="Times New Roman" w:cs="Times New Roman"/>
          <w:shd w:val="clear" w:color="auto" w:fill="FFFFFF"/>
          <w:lang w:val="en-CA"/>
        </w:rPr>
        <w:t xml:space="preserve"> 2019)</w:t>
      </w:r>
      <w:r w:rsidR="00965B13">
        <w:rPr>
          <w:rFonts w:ascii="Times New Roman" w:hAnsi="Times New Roman" w:cs="Times New Roman"/>
          <w:shd w:val="clear" w:color="auto" w:fill="FFFFFF"/>
          <w:lang w:val="en-CA"/>
        </w:rPr>
        <w:t xml:space="preserve">. A small difference between the net replacement rates </w:t>
      </w:r>
      <w:r w:rsidR="00F47394">
        <w:rPr>
          <w:rFonts w:ascii="Times New Roman" w:hAnsi="Times New Roman" w:cs="Times New Roman"/>
          <w:shd w:val="clear" w:color="auto" w:fill="FFFFFF"/>
          <w:lang w:val="en-CA"/>
        </w:rPr>
        <w:t>for</w:t>
      </w:r>
      <w:r w:rsidR="00965B13">
        <w:rPr>
          <w:rFonts w:ascii="Times New Roman" w:hAnsi="Times New Roman" w:cs="Times New Roman"/>
          <w:shd w:val="clear" w:color="auto" w:fill="FFFFFF"/>
          <w:lang w:val="en-CA"/>
        </w:rPr>
        <w:t xml:space="preserve"> low</w:t>
      </w:r>
      <w:r w:rsidR="00955472">
        <w:rPr>
          <w:rFonts w:ascii="Times New Roman" w:hAnsi="Times New Roman" w:cs="Times New Roman"/>
          <w:shd w:val="clear" w:color="auto" w:fill="FFFFFF"/>
          <w:lang w:val="en-CA"/>
        </w:rPr>
        <w:t>-</w:t>
      </w:r>
      <w:r w:rsidR="00965B13">
        <w:rPr>
          <w:rFonts w:ascii="Times New Roman" w:hAnsi="Times New Roman" w:cs="Times New Roman"/>
          <w:shd w:val="clear" w:color="auto" w:fill="FFFFFF"/>
          <w:lang w:val="en-CA"/>
        </w:rPr>
        <w:t xml:space="preserve"> and high</w:t>
      </w:r>
      <w:r w:rsidR="00EA5792">
        <w:rPr>
          <w:rFonts w:ascii="Times New Roman" w:hAnsi="Times New Roman" w:cs="Times New Roman"/>
          <w:shd w:val="clear" w:color="auto" w:fill="FFFFFF"/>
          <w:lang w:val="en-CA"/>
        </w:rPr>
        <w:t>-</w:t>
      </w:r>
      <w:r w:rsidR="00965B13">
        <w:rPr>
          <w:rFonts w:ascii="Times New Roman" w:hAnsi="Times New Roman" w:cs="Times New Roman"/>
          <w:shd w:val="clear" w:color="auto" w:fill="FFFFFF"/>
          <w:lang w:val="en-CA"/>
        </w:rPr>
        <w:t xml:space="preserve">income </w:t>
      </w:r>
      <w:r w:rsidR="00F54E3F">
        <w:rPr>
          <w:rFonts w:ascii="Times New Roman" w:hAnsi="Times New Roman" w:cs="Times New Roman"/>
          <w:shd w:val="clear" w:color="auto" w:fill="FFFFFF"/>
          <w:lang w:val="en-CA"/>
        </w:rPr>
        <w:t>pre-retirement</w:t>
      </w:r>
      <w:r w:rsidR="00965B13">
        <w:rPr>
          <w:rFonts w:ascii="Times New Roman" w:hAnsi="Times New Roman" w:cs="Times New Roman"/>
          <w:shd w:val="clear" w:color="auto" w:fill="FFFFFF"/>
          <w:lang w:val="en-CA"/>
        </w:rPr>
        <w:t xml:space="preserve"> earnings</w:t>
      </w:r>
      <w:r w:rsidR="00EA5792">
        <w:rPr>
          <w:rFonts w:ascii="Times New Roman" w:hAnsi="Times New Roman" w:cs="Times New Roman"/>
          <w:shd w:val="clear" w:color="auto" w:fill="FFFFFF"/>
          <w:lang w:val="en-CA"/>
        </w:rPr>
        <w:t xml:space="preserve"> means the pension system spends a lot to maintain the standard of living of high-income individuals</w:t>
      </w:r>
      <w:r w:rsidR="005A36E7">
        <w:rPr>
          <w:rFonts w:ascii="Times New Roman" w:hAnsi="Times New Roman" w:cs="Times New Roman"/>
          <w:shd w:val="clear" w:color="auto" w:fill="FFFFFF"/>
          <w:lang w:val="en-CA"/>
        </w:rPr>
        <w:t xml:space="preserve"> or is particularly not generous for low</w:t>
      </w:r>
      <w:r w:rsidR="00955472">
        <w:rPr>
          <w:rFonts w:ascii="Times New Roman" w:hAnsi="Times New Roman" w:cs="Times New Roman"/>
          <w:shd w:val="clear" w:color="auto" w:fill="FFFFFF"/>
          <w:lang w:val="en-CA"/>
        </w:rPr>
        <w:t>-</w:t>
      </w:r>
      <w:r w:rsidR="005A36E7">
        <w:rPr>
          <w:rFonts w:ascii="Times New Roman" w:hAnsi="Times New Roman" w:cs="Times New Roman"/>
          <w:shd w:val="clear" w:color="auto" w:fill="FFFFFF"/>
          <w:lang w:val="en-CA"/>
        </w:rPr>
        <w:t>income individuals</w:t>
      </w:r>
      <w:r w:rsidR="000B4A3D">
        <w:rPr>
          <w:rFonts w:ascii="Times New Roman" w:hAnsi="Times New Roman" w:cs="Times New Roman"/>
          <w:shd w:val="clear" w:color="auto" w:fill="FFFFFF"/>
          <w:lang w:val="en-CA"/>
        </w:rPr>
        <w:t>. Such a pro-rich outcome is typical</w:t>
      </w:r>
      <w:r w:rsidR="00965B13">
        <w:rPr>
          <w:rFonts w:ascii="Times New Roman" w:hAnsi="Times New Roman" w:cs="Times New Roman"/>
          <w:shd w:val="clear" w:color="auto" w:fill="FFFFFF"/>
          <w:lang w:val="en-CA"/>
        </w:rPr>
        <w:t xml:space="preserve"> of </w:t>
      </w:r>
      <w:r w:rsidR="00F54E3F">
        <w:rPr>
          <w:rFonts w:ascii="Times New Roman" w:hAnsi="Times New Roman" w:cs="Times New Roman"/>
          <w:shd w:val="clear" w:color="auto" w:fill="FFFFFF"/>
          <w:lang w:val="en-CA"/>
        </w:rPr>
        <w:t>B</w:t>
      </w:r>
      <w:r w:rsidR="00965B13">
        <w:rPr>
          <w:rFonts w:ascii="Times New Roman" w:hAnsi="Times New Roman" w:cs="Times New Roman"/>
          <w:shd w:val="clear" w:color="auto" w:fill="FFFFFF"/>
          <w:lang w:val="en-CA"/>
        </w:rPr>
        <w:t xml:space="preserve">ismarckian welfare </w:t>
      </w:r>
      <w:r w:rsidR="00965B13">
        <w:rPr>
          <w:rFonts w:ascii="Times New Roman" w:hAnsi="Times New Roman" w:cs="Times New Roman"/>
          <w:shd w:val="clear" w:color="auto" w:fill="FFFFFF"/>
          <w:lang w:val="en-CA"/>
        </w:rPr>
        <w:lastRenderedPageBreak/>
        <w:t>states</w:t>
      </w:r>
      <w:r w:rsidR="000B4A3D">
        <w:rPr>
          <w:rFonts w:ascii="Times New Roman" w:hAnsi="Times New Roman" w:cs="Times New Roman"/>
          <w:shd w:val="clear" w:color="auto" w:fill="FFFFFF"/>
          <w:lang w:val="en-CA"/>
        </w:rPr>
        <w:t>,</w:t>
      </w:r>
      <w:r w:rsidR="00965B13">
        <w:rPr>
          <w:rFonts w:ascii="Times New Roman" w:hAnsi="Times New Roman" w:cs="Times New Roman"/>
          <w:shd w:val="clear" w:color="auto" w:fill="FFFFFF"/>
          <w:lang w:val="en-CA"/>
        </w:rPr>
        <w:t xml:space="preserve"> </w:t>
      </w:r>
      <w:r w:rsidR="000B4A3D">
        <w:rPr>
          <w:rFonts w:ascii="Times New Roman" w:hAnsi="Times New Roman" w:cs="Times New Roman"/>
          <w:shd w:val="clear" w:color="auto" w:fill="FFFFFF"/>
          <w:lang w:val="en-CA"/>
        </w:rPr>
        <w:t>where</w:t>
      </w:r>
      <w:r>
        <w:rPr>
          <w:rFonts w:ascii="Times New Roman" w:hAnsi="Times New Roman" w:cs="Times New Roman"/>
          <w:shd w:val="clear" w:color="auto" w:fill="FFFFFF"/>
          <w:lang w:val="en-CA"/>
        </w:rPr>
        <w:t xml:space="preserve"> social security contributions </w:t>
      </w:r>
      <w:r w:rsidR="000B4A3D">
        <w:rPr>
          <w:rFonts w:ascii="Times New Roman" w:hAnsi="Times New Roman" w:cs="Times New Roman"/>
          <w:shd w:val="clear" w:color="auto" w:fill="FFFFFF"/>
          <w:lang w:val="en-CA"/>
        </w:rPr>
        <w:t>support costly,</w:t>
      </w:r>
      <w:r w:rsidR="00F54E3F">
        <w:rPr>
          <w:rFonts w:ascii="Times New Roman" w:hAnsi="Times New Roman" w:cs="Times New Roman"/>
          <w:shd w:val="clear" w:color="auto" w:fill="FFFFFF"/>
          <w:lang w:val="en-CA"/>
        </w:rPr>
        <w:t xml:space="preserve"> high replacement rates for high</w:t>
      </w:r>
      <w:r w:rsidR="00866772">
        <w:rPr>
          <w:rFonts w:ascii="Times New Roman" w:hAnsi="Times New Roman" w:cs="Times New Roman"/>
          <w:shd w:val="clear" w:color="auto" w:fill="FFFFFF"/>
          <w:lang w:val="en-CA"/>
        </w:rPr>
        <w:t>-</w:t>
      </w:r>
      <w:r w:rsidR="00F54E3F">
        <w:rPr>
          <w:rFonts w:ascii="Times New Roman" w:hAnsi="Times New Roman" w:cs="Times New Roman"/>
          <w:shd w:val="clear" w:color="auto" w:fill="FFFFFF"/>
          <w:lang w:val="en-CA"/>
        </w:rPr>
        <w:t>income individuals</w:t>
      </w:r>
      <w:r w:rsidR="000B4A3D">
        <w:rPr>
          <w:rFonts w:ascii="Times New Roman" w:hAnsi="Times New Roman" w:cs="Times New Roman"/>
          <w:shd w:val="clear" w:color="auto" w:fill="FFFFFF"/>
          <w:lang w:val="en-CA"/>
        </w:rPr>
        <w:t>.</w:t>
      </w:r>
      <w:r w:rsidR="00AC39D8">
        <w:rPr>
          <w:rFonts w:ascii="Times New Roman" w:hAnsi="Times New Roman" w:cs="Times New Roman"/>
          <w:shd w:val="clear" w:color="auto" w:fill="FFFFFF"/>
          <w:lang w:val="en-CA"/>
        </w:rPr>
        <w:t xml:space="preserve"> </w:t>
      </w:r>
      <w:r w:rsidR="00F54E3F">
        <w:rPr>
          <w:rFonts w:ascii="Times New Roman" w:hAnsi="Times New Roman" w:cs="Times New Roman"/>
          <w:shd w:val="clear" w:color="auto" w:fill="FFFFFF"/>
          <w:lang w:val="en-CA"/>
        </w:rPr>
        <w:t xml:space="preserve">In contrast, </w:t>
      </w:r>
      <w:r w:rsidR="000B4A3D">
        <w:rPr>
          <w:rFonts w:ascii="Times New Roman" w:hAnsi="Times New Roman" w:cs="Times New Roman"/>
          <w:shd w:val="clear" w:color="auto" w:fill="FFFFFF"/>
          <w:lang w:val="en-CA"/>
        </w:rPr>
        <w:t>pension systems without strong second tier programs offer less to high-income earners and, relatively, more</w:t>
      </w:r>
      <w:r w:rsidR="00F54E3F">
        <w:rPr>
          <w:rFonts w:ascii="Times New Roman" w:hAnsi="Times New Roman" w:cs="Times New Roman"/>
          <w:shd w:val="clear" w:color="auto" w:fill="FFFFFF"/>
          <w:lang w:val="en-CA"/>
        </w:rPr>
        <w:t xml:space="preserve"> </w:t>
      </w:r>
      <w:r w:rsidR="000B4A3D">
        <w:rPr>
          <w:rFonts w:ascii="Times New Roman" w:hAnsi="Times New Roman" w:cs="Times New Roman"/>
          <w:shd w:val="clear" w:color="auto" w:fill="FFFFFF"/>
          <w:lang w:val="en-CA"/>
        </w:rPr>
        <w:t>to households with</w:t>
      </w:r>
      <w:r w:rsidR="00F54E3F">
        <w:rPr>
          <w:rFonts w:ascii="Times New Roman" w:hAnsi="Times New Roman" w:cs="Times New Roman"/>
          <w:shd w:val="clear" w:color="auto" w:fill="FFFFFF"/>
          <w:lang w:val="en-CA"/>
        </w:rPr>
        <w:t xml:space="preserve"> low income</w:t>
      </w:r>
      <w:r w:rsidR="000B4A3D">
        <w:rPr>
          <w:rFonts w:ascii="Times New Roman" w:hAnsi="Times New Roman" w:cs="Times New Roman"/>
          <w:shd w:val="clear" w:color="auto" w:fill="FFFFFF"/>
          <w:lang w:val="en-CA"/>
        </w:rPr>
        <w:t xml:space="preserve">s. </w:t>
      </w:r>
    </w:p>
    <w:p w14:paraId="7A78DD3A" w14:textId="508DB1BD" w:rsidR="00522689" w:rsidRDefault="000B4A3D" w:rsidP="004A7362">
      <w:pPr>
        <w:spacing w:line="480" w:lineRule="auto"/>
        <w:ind w:firstLine="708"/>
        <w:jc w:val="both"/>
        <w:rPr>
          <w:rFonts w:ascii="Times New Roman" w:hAnsi="Times New Roman" w:cs="Times New Roman"/>
          <w:b/>
          <w:shd w:val="clear" w:color="auto" w:fill="FFFFFF"/>
          <w:lang w:val="en-US"/>
        </w:rPr>
      </w:pPr>
      <w:r>
        <w:rPr>
          <w:rFonts w:ascii="Times New Roman" w:hAnsi="Times New Roman" w:cs="Times New Roman"/>
          <w:shd w:val="clear" w:color="auto" w:fill="FFFFFF"/>
          <w:lang w:val="en-CA"/>
        </w:rPr>
        <w:t>F</w:t>
      </w:r>
      <w:r w:rsidR="00F54E3F">
        <w:rPr>
          <w:rFonts w:ascii="Times New Roman" w:hAnsi="Times New Roman" w:cs="Times New Roman"/>
          <w:shd w:val="clear" w:color="auto" w:fill="FFFFFF"/>
          <w:lang w:val="en-CA"/>
        </w:rPr>
        <w:t xml:space="preserve">igure </w:t>
      </w:r>
      <w:r w:rsidR="006E2281">
        <w:rPr>
          <w:rFonts w:ascii="Times New Roman" w:hAnsi="Times New Roman" w:cs="Times New Roman"/>
          <w:shd w:val="clear" w:color="auto" w:fill="FFFFFF"/>
          <w:lang w:val="en-CA"/>
        </w:rPr>
        <w:t>A</w:t>
      </w:r>
      <w:r w:rsidR="00F54E3F">
        <w:rPr>
          <w:rFonts w:ascii="Times New Roman" w:hAnsi="Times New Roman" w:cs="Times New Roman"/>
          <w:shd w:val="clear" w:color="auto" w:fill="FFFFFF"/>
          <w:lang w:val="en-CA"/>
        </w:rPr>
        <w:t>3</w:t>
      </w:r>
      <w:r w:rsidR="006E2281">
        <w:rPr>
          <w:rFonts w:ascii="Times New Roman" w:hAnsi="Times New Roman" w:cs="Times New Roman"/>
          <w:shd w:val="clear" w:color="auto" w:fill="FFFFFF"/>
          <w:lang w:val="en-CA"/>
        </w:rPr>
        <w:t>, presented in the online appendix,</w:t>
      </w:r>
      <w:r w:rsidR="00645EF0">
        <w:rPr>
          <w:rFonts w:ascii="Times New Roman" w:hAnsi="Times New Roman" w:cs="Times New Roman"/>
          <w:shd w:val="clear" w:color="auto" w:fill="FFFFFF"/>
          <w:lang w:val="en-CA"/>
        </w:rPr>
        <w:t xml:space="preserve"> </w:t>
      </w:r>
      <w:r w:rsidR="00B67722">
        <w:rPr>
          <w:rFonts w:ascii="Times New Roman" w:hAnsi="Times New Roman" w:cs="Times New Roman"/>
          <w:shd w:val="clear" w:color="auto" w:fill="FFFFFF"/>
          <w:lang w:val="en-CA"/>
        </w:rPr>
        <w:t>associates</w:t>
      </w:r>
      <w:r w:rsidR="00F54E3F">
        <w:rPr>
          <w:rFonts w:ascii="Times New Roman" w:hAnsi="Times New Roman" w:cs="Times New Roman"/>
          <w:shd w:val="clear" w:color="auto" w:fill="FFFFFF"/>
          <w:lang w:val="en-CA"/>
        </w:rPr>
        <w:t xml:space="preserve"> </w:t>
      </w:r>
      <w:r w:rsidR="00AC39D8">
        <w:rPr>
          <w:rFonts w:ascii="Times New Roman" w:hAnsi="Times New Roman" w:cs="Times New Roman"/>
          <w:shd w:val="clear" w:color="auto" w:fill="FFFFFF"/>
          <w:lang w:val="en-CA"/>
        </w:rPr>
        <w:t xml:space="preserve">the level of public pension expenditures </w:t>
      </w:r>
      <w:r w:rsidR="00B67722">
        <w:rPr>
          <w:rFonts w:ascii="Times New Roman" w:hAnsi="Times New Roman" w:cs="Times New Roman"/>
          <w:shd w:val="clear" w:color="auto" w:fill="FFFFFF"/>
          <w:lang w:val="en-CA"/>
        </w:rPr>
        <w:t>to</w:t>
      </w:r>
      <w:r w:rsidR="00AC39D8">
        <w:rPr>
          <w:rFonts w:ascii="Times New Roman" w:hAnsi="Times New Roman" w:cs="Times New Roman"/>
          <w:shd w:val="clear" w:color="auto" w:fill="FFFFFF"/>
          <w:lang w:val="en-CA"/>
        </w:rPr>
        <w:t xml:space="preserve"> </w:t>
      </w:r>
      <w:r w:rsidR="00F54E3F">
        <w:rPr>
          <w:rFonts w:ascii="Times New Roman" w:hAnsi="Times New Roman" w:cs="Times New Roman"/>
          <w:shd w:val="clear" w:color="auto" w:fill="FFFFFF"/>
          <w:lang w:val="en-CA"/>
        </w:rPr>
        <w:t xml:space="preserve">the difference in net replacement rates </w:t>
      </w:r>
      <w:r w:rsidR="00B67722">
        <w:rPr>
          <w:rFonts w:ascii="Times New Roman" w:hAnsi="Times New Roman" w:cs="Times New Roman"/>
          <w:shd w:val="clear" w:color="auto" w:fill="FFFFFF"/>
          <w:lang w:val="en-CA"/>
        </w:rPr>
        <w:t>for</w:t>
      </w:r>
      <w:r w:rsidR="00F54E3F">
        <w:rPr>
          <w:rFonts w:ascii="Times New Roman" w:hAnsi="Times New Roman" w:cs="Times New Roman"/>
          <w:shd w:val="clear" w:color="auto" w:fill="FFFFFF"/>
          <w:lang w:val="en-CA"/>
        </w:rPr>
        <w:t xml:space="preserve"> men whose pre-retirement earnings </w:t>
      </w:r>
      <w:r w:rsidR="00866772">
        <w:rPr>
          <w:rFonts w:ascii="Times New Roman" w:hAnsi="Times New Roman" w:cs="Times New Roman"/>
          <w:shd w:val="clear" w:color="auto" w:fill="FFFFFF"/>
          <w:lang w:val="en-CA"/>
        </w:rPr>
        <w:t xml:space="preserve">stood at </w:t>
      </w:r>
      <w:r w:rsidR="00F54E3F">
        <w:rPr>
          <w:rFonts w:ascii="Times New Roman" w:hAnsi="Times New Roman" w:cs="Times New Roman"/>
          <w:shd w:val="clear" w:color="auto" w:fill="FFFFFF"/>
          <w:lang w:val="en-CA"/>
        </w:rPr>
        <w:t>50%</w:t>
      </w:r>
      <w:r w:rsidR="00B67722">
        <w:rPr>
          <w:rFonts w:ascii="Times New Roman" w:hAnsi="Times New Roman" w:cs="Times New Roman"/>
          <w:shd w:val="clear" w:color="auto" w:fill="FFFFFF"/>
          <w:lang w:val="en-CA"/>
        </w:rPr>
        <w:t xml:space="preserve"> or 200%</w:t>
      </w:r>
      <w:r w:rsidR="00F54E3F">
        <w:rPr>
          <w:rFonts w:ascii="Times New Roman" w:hAnsi="Times New Roman" w:cs="Times New Roman"/>
          <w:shd w:val="clear" w:color="auto" w:fill="FFFFFF"/>
          <w:lang w:val="en-CA"/>
        </w:rPr>
        <w:t xml:space="preserve"> of the average</w:t>
      </w:r>
      <w:r w:rsidR="006E2281">
        <w:rPr>
          <w:rFonts w:ascii="Times New Roman" w:hAnsi="Times New Roman" w:cs="Times New Roman"/>
          <w:shd w:val="clear" w:color="auto" w:fill="FFFFFF"/>
          <w:lang w:val="en-CA"/>
        </w:rPr>
        <w:t xml:space="preserve"> (R = - 0.61)</w:t>
      </w:r>
      <w:r w:rsidR="00F54E3F">
        <w:rPr>
          <w:rFonts w:ascii="Times New Roman" w:hAnsi="Times New Roman" w:cs="Times New Roman"/>
          <w:shd w:val="clear" w:color="auto" w:fill="FFFFFF"/>
          <w:lang w:val="en-CA"/>
        </w:rPr>
        <w:t>.</w:t>
      </w:r>
      <w:r w:rsidR="00B67722">
        <w:rPr>
          <w:rFonts w:ascii="Times New Roman" w:hAnsi="Times New Roman" w:cs="Times New Roman"/>
          <w:shd w:val="clear" w:color="auto" w:fill="FFFFFF"/>
          <w:lang w:val="en-CA"/>
        </w:rPr>
        <w:t xml:space="preserve"> In New Zealand and Canada, for instance, the difference is large because the replacement rate for high-income individuals is </w:t>
      </w:r>
      <w:r w:rsidR="00055BEF">
        <w:rPr>
          <w:rFonts w:ascii="Times New Roman" w:hAnsi="Times New Roman" w:cs="Times New Roman"/>
          <w:shd w:val="clear" w:color="auto" w:fill="FFFFFF"/>
          <w:lang w:val="en-CA"/>
        </w:rPr>
        <w:t xml:space="preserve">much </w:t>
      </w:r>
      <w:r w:rsidR="00B67722">
        <w:rPr>
          <w:rFonts w:ascii="Times New Roman" w:hAnsi="Times New Roman" w:cs="Times New Roman"/>
          <w:shd w:val="clear" w:color="auto" w:fill="FFFFFF"/>
          <w:lang w:val="en-CA"/>
        </w:rPr>
        <w:t>low</w:t>
      </w:r>
      <w:r w:rsidR="00055BEF">
        <w:rPr>
          <w:rFonts w:ascii="Times New Roman" w:hAnsi="Times New Roman" w:cs="Times New Roman"/>
          <w:shd w:val="clear" w:color="auto" w:fill="FFFFFF"/>
          <w:lang w:val="en-CA"/>
        </w:rPr>
        <w:t>er than for low-income earners</w:t>
      </w:r>
      <w:r w:rsidR="00B67722">
        <w:rPr>
          <w:rFonts w:ascii="Times New Roman" w:hAnsi="Times New Roman" w:cs="Times New Roman"/>
          <w:shd w:val="clear" w:color="auto" w:fill="FFFFFF"/>
          <w:lang w:val="en-CA"/>
        </w:rPr>
        <w:t xml:space="preserve"> (23.3% and 30.8% respectively</w:t>
      </w:r>
      <w:r w:rsidR="00055BEF">
        <w:rPr>
          <w:rFonts w:ascii="Times New Roman" w:hAnsi="Times New Roman" w:cs="Times New Roman"/>
          <w:shd w:val="clear" w:color="auto" w:fill="FFFFFF"/>
          <w:lang w:val="en-CA"/>
        </w:rPr>
        <w:t>, compared to 79.5% and 75.4%</w:t>
      </w:r>
      <w:r w:rsidR="00B67722">
        <w:rPr>
          <w:rFonts w:ascii="Times New Roman" w:hAnsi="Times New Roman" w:cs="Times New Roman"/>
          <w:shd w:val="clear" w:color="auto" w:fill="FFFFFF"/>
          <w:lang w:val="en-CA"/>
        </w:rPr>
        <w:t xml:space="preserve">). </w:t>
      </w:r>
      <w:r w:rsidR="00055BEF">
        <w:rPr>
          <w:rFonts w:ascii="Times New Roman" w:hAnsi="Times New Roman" w:cs="Times New Roman"/>
          <w:shd w:val="clear" w:color="auto" w:fill="FFFFFF"/>
          <w:lang w:val="en-CA"/>
        </w:rPr>
        <w:t>Limited at the top</w:t>
      </w:r>
      <w:r w:rsidR="00B67722">
        <w:rPr>
          <w:rFonts w:ascii="Times New Roman" w:hAnsi="Times New Roman" w:cs="Times New Roman"/>
          <w:shd w:val="clear" w:color="auto" w:fill="FFFFFF"/>
          <w:lang w:val="en-CA"/>
        </w:rPr>
        <w:t>, public spending on pensions remains modest. Italy, at the other end, presents the ideal-typical scenario of a welfare state with a costly and pro-rich pension system, which provides similarly high replacement rates for both high and low-income pensioners (Lynch, 2006).</w:t>
      </w:r>
      <w:r w:rsidR="00F54E3F">
        <w:rPr>
          <w:rFonts w:ascii="Times New Roman" w:hAnsi="Times New Roman" w:cs="Times New Roman"/>
          <w:shd w:val="clear" w:color="auto" w:fill="FFFFFF"/>
          <w:lang w:val="en-CA"/>
        </w:rPr>
        <w:t xml:space="preserve"> </w:t>
      </w:r>
      <w:r w:rsidR="00B67722">
        <w:rPr>
          <w:rFonts w:ascii="Times New Roman" w:hAnsi="Times New Roman" w:cs="Times New Roman"/>
          <w:shd w:val="clear" w:color="auto" w:fill="FFFFFF"/>
          <w:lang w:val="en-US"/>
        </w:rPr>
        <w:t>Denmark appears to be a</w:t>
      </w:r>
      <w:r w:rsidR="00F47394">
        <w:rPr>
          <w:rFonts w:ascii="Times New Roman" w:hAnsi="Times New Roman" w:cs="Times New Roman"/>
          <w:shd w:val="clear" w:color="auto" w:fill="FFFFFF"/>
          <w:lang w:val="en-US"/>
        </w:rPr>
        <w:t xml:space="preserve"> </w:t>
      </w:r>
      <w:r w:rsidR="00B67722">
        <w:rPr>
          <w:rFonts w:ascii="Times New Roman" w:hAnsi="Times New Roman" w:cs="Times New Roman"/>
          <w:shd w:val="clear" w:color="auto" w:fill="FFFFFF"/>
          <w:lang w:val="en-US"/>
        </w:rPr>
        <w:t>strong</w:t>
      </w:r>
      <w:r w:rsidR="00F47394">
        <w:rPr>
          <w:rFonts w:ascii="Times New Roman" w:hAnsi="Times New Roman" w:cs="Times New Roman"/>
          <w:shd w:val="clear" w:color="auto" w:fill="FFFFFF"/>
          <w:lang w:val="en-US"/>
        </w:rPr>
        <w:t xml:space="preserve"> case of targeting within universalism</w:t>
      </w:r>
      <w:r w:rsidR="00B67722">
        <w:rPr>
          <w:rFonts w:ascii="Times New Roman" w:hAnsi="Times New Roman" w:cs="Times New Roman"/>
          <w:shd w:val="clear" w:color="auto" w:fill="FFFFFF"/>
          <w:lang w:val="en-US"/>
        </w:rPr>
        <w:t>,</w:t>
      </w:r>
      <w:r w:rsidR="00F47394">
        <w:rPr>
          <w:rFonts w:ascii="Times New Roman" w:hAnsi="Times New Roman" w:cs="Times New Roman"/>
          <w:shd w:val="clear" w:color="auto" w:fill="FFFFFF"/>
          <w:lang w:val="en-US"/>
        </w:rPr>
        <w:t xml:space="preserve"> </w:t>
      </w:r>
      <w:r w:rsidR="002C42DC">
        <w:rPr>
          <w:rFonts w:ascii="Times New Roman" w:hAnsi="Times New Roman" w:cs="Times New Roman"/>
          <w:shd w:val="clear" w:color="auto" w:fill="FFFFFF"/>
          <w:lang w:val="en-US"/>
        </w:rPr>
        <w:t xml:space="preserve">with very high </w:t>
      </w:r>
      <w:r w:rsidR="00F47394">
        <w:rPr>
          <w:rFonts w:ascii="Times New Roman" w:hAnsi="Times New Roman" w:cs="Times New Roman"/>
          <w:shd w:val="clear" w:color="auto" w:fill="FFFFFF"/>
          <w:lang w:val="en-US"/>
        </w:rPr>
        <w:t>replacement rates</w:t>
      </w:r>
      <w:r w:rsidR="002C42DC">
        <w:rPr>
          <w:rFonts w:ascii="Times New Roman" w:hAnsi="Times New Roman" w:cs="Times New Roman"/>
          <w:shd w:val="clear" w:color="auto" w:fill="FFFFFF"/>
          <w:lang w:val="en-US"/>
        </w:rPr>
        <w:t xml:space="preserve"> </w:t>
      </w:r>
      <w:r w:rsidR="00F47394">
        <w:rPr>
          <w:rFonts w:ascii="Times New Roman" w:hAnsi="Times New Roman" w:cs="Times New Roman"/>
          <w:shd w:val="clear" w:color="auto" w:fill="FFFFFF"/>
          <w:lang w:val="en-US"/>
        </w:rPr>
        <w:t>for</w:t>
      </w:r>
      <w:r w:rsidR="002C42DC">
        <w:rPr>
          <w:rFonts w:ascii="Times New Roman" w:hAnsi="Times New Roman" w:cs="Times New Roman"/>
          <w:shd w:val="clear" w:color="auto" w:fill="FFFFFF"/>
          <w:lang w:val="en-US"/>
        </w:rPr>
        <w:t xml:space="preserve"> </w:t>
      </w:r>
      <w:r w:rsidR="00F47394">
        <w:rPr>
          <w:rFonts w:ascii="Times New Roman" w:hAnsi="Times New Roman" w:cs="Times New Roman"/>
          <w:shd w:val="clear" w:color="auto" w:fill="FFFFFF"/>
          <w:lang w:val="en-US"/>
        </w:rPr>
        <w:t xml:space="preserve">the poor (132%), </w:t>
      </w:r>
      <w:r w:rsidR="006428FD">
        <w:rPr>
          <w:rFonts w:ascii="Times New Roman" w:hAnsi="Times New Roman" w:cs="Times New Roman"/>
          <w:shd w:val="clear" w:color="auto" w:fill="FFFFFF"/>
          <w:lang w:val="en-US"/>
        </w:rPr>
        <w:t>but</w:t>
      </w:r>
      <w:r w:rsidR="002C42DC">
        <w:rPr>
          <w:rFonts w:ascii="Times New Roman" w:hAnsi="Times New Roman" w:cs="Times New Roman"/>
          <w:shd w:val="clear" w:color="auto" w:fill="FFFFFF"/>
          <w:lang w:val="en-US"/>
        </w:rPr>
        <w:t xml:space="preserve"> generous ones for</w:t>
      </w:r>
      <w:r w:rsidR="006428FD">
        <w:rPr>
          <w:rFonts w:ascii="Times New Roman" w:hAnsi="Times New Roman" w:cs="Times New Roman"/>
          <w:shd w:val="clear" w:color="auto" w:fill="FFFFFF"/>
          <w:lang w:val="en-US"/>
        </w:rPr>
        <w:t xml:space="preserve"> </w:t>
      </w:r>
      <w:r w:rsidR="002C42DC">
        <w:rPr>
          <w:rFonts w:ascii="Times New Roman" w:hAnsi="Times New Roman" w:cs="Times New Roman"/>
          <w:shd w:val="clear" w:color="auto" w:fill="FFFFFF"/>
          <w:lang w:val="en-US"/>
        </w:rPr>
        <w:t xml:space="preserve">the </w:t>
      </w:r>
      <w:r w:rsidR="006428FD">
        <w:rPr>
          <w:rFonts w:ascii="Times New Roman" w:hAnsi="Times New Roman" w:cs="Times New Roman"/>
          <w:shd w:val="clear" w:color="auto" w:fill="FFFFFF"/>
          <w:lang w:val="en-US"/>
        </w:rPr>
        <w:t xml:space="preserve">rich </w:t>
      </w:r>
      <w:r w:rsidR="00F47394">
        <w:rPr>
          <w:rFonts w:ascii="Times New Roman" w:hAnsi="Times New Roman" w:cs="Times New Roman"/>
          <w:shd w:val="clear" w:color="auto" w:fill="FFFFFF"/>
          <w:lang w:val="en-US"/>
        </w:rPr>
        <w:t>as</w:t>
      </w:r>
      <w:r w:rsidR="002C42DC">
        <w:rPr>
          <w:rFonts w:ascii="Times New Roman" w:hAnsi="Times New Roman" w:cs="Times New Roman"/>
          <w:shd w:val="clear" w:color="auto" w:fill="FFFFFF"/>
          <w:lang w:val="en-US"/>
        </w:rPr>
        <w:t xml:space="preserve"> </w:t>
      </w:r>
      <w:r w:rsidR="00F47394">
        <w:rPr>
          <w:rFonts w:ascii="Times New Roman" w:hAnsi="Times New Roman" w:cs="Times New Roman"/>
          <w:shd w:val="clear" w:color="auto" w:fill="FFFFFF"/>
          <w:lang w:val="en-US"/>
        </w:rPr>
        <w:t>well (72%)</w:t>
      </w:r>
      <w:r w:rsidR="002C42DC">
        <w:rPr>
          <w:rFonts w:ascii="Times New Roman" w:hAnsi="Times New Roman" w:cs="Times New Roman"/>
          <w:shd w:val="clear" w:color="auto" w:fill="FFFFFF"/>
          <w:lang w:val="en-US"/>
        </w:rPr>
        <w:t>, with an average level of spending</w:t>
      </w:r>
      <w:r w:rsidR="006428FD">
        <w:rPr>
          <w:rFonts w:ascii="Times New Roman" w:hAnsi="Times New Roman" w:cs="Times New Roman"/>
          <w:shd w:val="clear" w:color="auto" w:fill="FFFFFF"/>
          <w:lang w:val="en-US"/>
        </w:rPr>
        <w:t>.</w:t>
      </w:r>
    </w:p>
    <w:p w14:paraId="2049B369" w14:textId="314871AD" w:rsidR="00945ECB" w:rsidRPr="00055BEF" w:rsidRDefault="00522689" w:rsidP="004A7362">
      <w:pPr>
        <w:spacing w:line="480" w:lineRule="auto"/>
        <w:jc w:val="both"/>
        <w:rPr>
          <w:rFonts w:ascii="Times New Roman" w:hAnsi="Times New Roman" w:cs="Times New Roman"/>
          <w:shd w:val="clear" w:color="auto" w:fill="FFFFFF"/>
          <w:lang w:val="en-CA"/>
        </w:rPr>
      </w:pPr>
      <w:r>
        <w:rPr>
          <w:rFonts w:ascii="Times New Roman" w:hAnsi="Times New Roman" w:cs="Times New Roman"/>
          <w:b/>
          <w:shd w:val="clear" w:color="auto" w:fill="FFFFFF"/>
          <w:lang w:val="en-US"/>
        </w:rPr>
        <w:tab/>
      </w:r>
      <w:r w:rsidR="0066175B">
        <w:rPr>
          <w:rFonts w:ascii="Times New Roman" w:hAnsi="Times New Roman" w:cs="Times New Roman"/>
          <w:shd w:val="clear" w:color="auto" w:fill="FFFFFF"/>
          <w:lang w:val="en-CA"/>
        </w:rPr>
        <w:t>For a similar proportion of elde</w:t>
      </w:r>
      <w:r>
        <w:rPr>
          <w:rFonts w:ascii="Times New Roman" w:hAnsi="Times New Roman" w:cs="Times New Roman"/>
          <w:shd w:val="clear" w:color="auto" w:fill="FFFFFF"/>
          <w:lang w:val="en-CA"/>
        </w:rPr>
        <w:t>r</w:t>
      </w:r>
      <w:r w:rsidR="0066175B">
        <w:rPr>
          <w:rFonts w:ascii="Times New Roman" w:hAnsi="Times New Roman" w:cs="Times New Roman"/>
          <w:shd w:val="clear" w:color="auto" w:fill="FFFFFF"/>
          <w:lang w:val="en-CA"/>
        </w:rPr>
        <w:t>ly population, a country with a higher replacement rate for middle and high income individuals will spend more on pensions and have more pro-rich outcomes (see online appendix</w:t>
      </w:r>
      <w:r w:rsidR="00763E6A">
        <w:rPr>
          <w:rFonts w:ascii="Times New Roman" w:hAnsi="Times New Roman" w:cs="Times New Roman"/>
          <w:shd w:val="clear" w:color="auto" w:fill="FFFFFF"/>
          <w:lang w:val="en-CA"/>
        </w:rPr>
        <w:t>,</w:t>
      </w:r>
      <w:r w:rsidR="0066175B">
        <w:rPr>
          <w:rFonts w:ascii="Times New Roman" w:hAnsi="Times New Roman" w:cs="Times New Roman"/>
          <w:shd w:val="clear" w:color="auto" w:fill="FFFFFF"/>
          <w:lang w:val="en-CA"/>
        </w:rPr>
        <w:t xml:space="preserve"> </w:t>
      </w:r>
      <w:r w:rsidR="00763E6A">
        <w:rPr>
          <w:rFonts w:ascii="Times New Roman" w:hAnsi="Times New Roman" w:cs="Times New Roman"/>
          <w:shd w:val="clear" w:color="auto" w:fill="FFFFFF"/>
          <w:lang w:val="en-CA"/>
        </w:rPr>
        <w:t>T</w:t>
      </w:r>
      <w:r w:rsidR="0066175B">
        <w:rPr>
          <w:rFonts w:ascii="Times New Roman" w:hAnsi="Times New Roman" w:cs="Times New Roman"/>
          <w:shd w:val="clear" w:color="auto" w:fill="FFFFFF"/>
          <w:lang w:val="en-CA"/>
        </w:rPr>
        <w:t>able A1</w:t>
      </w:r>
      <w:r w:rsidR="00763E6A">
        <w:rPr>
          <w:rFonts w:ascii="Times New Roman" w:hAnsi="Times New Roman" w:cs="Times New Roman"/>
          <w:shd w:val="clear" w:color="auto" w:fill="FFFFFF"/>
          <w:lang w:val="en-CA"/>
        </w:rPr>
        <w:t>,</w:t>
      </w:r>
      <w:r w:rsidR="0066175B">
        <w:rPr>
          <w:rFonts w:ascii="Times New Roman" w:hAnsi="Times New Roman" w:cs="Times New Roman"/>
          <w:shd w:val="clear" w:color="auto" w:fill="FFFFFF"/>
          <w:lang w:val="en-CA"/>
        </w:rPr>
        <w:t xml:space="preserve"> for a regression analysis confirming this </w:t>
      </w:r>
      <w:r w:rsidR="00C44EAA">
        <w:rPr>
          <w:rFonts w:ascii="Times New Roman" w:hAnsi="Times New Roman" w:cs="Times New Roman"/>
          <w:shd w:val="clear" w:color="auto" w:fill="FFFFFF"/>
          <w:lang w:val="en-CA"/>
        </w:rPr>
        <w:t>observation</w:t>
      </w:r>
      <w:r w:rsidR="0066175B">
        <w:rPr>
          <w:rFonts w:ascii="Times New Roman" w:hAnsi="Times New Roman" w:cs="Times New Roman"/>
          <w:shd w:val="clear" w:color="auto" w:fill="FFFFFF"/>
          <w:lang w:val="en-CA"/>
        </w:rPr>
        <w:t xml:space="preserve">). </w:t>
      </w:r>
      <w:r w:rsidR="009B0216">
        <w:rPr>
          <w:rFonts w:ascii="Times New Roman" w:hAnsi="Times New Roman" w:cs="Times New Roman"/>
          <w:shd w:val="clear" w:color="auto" w:fill="FFFFFF"/>
          <w:lang w:val="en-CA"/>
        </w:rPr>
        <w:t>F</w:t>
      </w:r>
      <w:r w:rsidR="00D80AFD">
        <w:rPr>
          <w:rFonts w:ascii="Times New Roman" w:hAnsi="Times New Roman" w:cs="Times New Roman"/>
          <w:shd w:val="clear" w:color="auto" w:fill="FFFFFF"/>
          <w:lang w:val="en-CA"/>
        </w:rPr>
        <w:t>or example</w:t>
      </w:r>
      <w:r w:rsidR="00B708C2">
        <w:rPr>
          <w:rFonts w:ascii="Times New Roman" w:hAnsi="Times New Roman" w:cs="Times New Roman"/>
          <w:shd w:val="clear" w:color="auto" w:fill="FFFFFF"/>
          <w:lang w:val="en-CA"/>
        </w:rPr>
        <w:t>,</w:t>
      </w:r>
      <w:r w:rsidR="00D80AFD">
        <w:rPr>
          <w:rFonts w:ascii="Times New Roman" w:hAnsi="Times New Roman" w:cs="Times New Roman"/>
          <w:shd w:val="clear" w:color="auto" w:fill="FFFFFF"/>
          <w:lang w:val="en-CA"/>
        </w:rPr>
        <w:t xml:space="preserve"> France and Austria</w:t>
      </w:r>
      <w:r w:rsidR="00B708C2">
        <w:rPr>
          <w:rFonts w:ascii="Times New Roman" w:hAnsi="Times New Roman" w:cs="Times New Roman"/>
          <w:shd w:val="clear" w:color="auto" w:fill="FFFFFF"/>
          <w:lang w:val="en-CA"/>
        </w:rPr>
        <w:t>, with</w:t>
      </w:r>
      <w:r w:rsidR="00D80AFD">
        <w:rPr>
          <w:rFonts w:ascii="Times New Roman" w:hAnsi="Times New Roman" w:cs="Times New Roman"/>
          <w:shd w:val="clear" w:color="auto" w:fill="FFFFFF"/>
          <w:lang w:val="en-CA"/>
        </w:rPr>
        <w:t xml:space="preserve"> typical earnings</w:t>
      </w:r>
      <w:r w:rsidR="00B708C2">
        <w:rPr>
          <w:rFonts w:ascii="Times New Roman" w:hAnsi="Times New Roman" w:cs="Times New Roman"/>
          <w:shd w:val="clear" w:color="auto" w:fill="FFFFFF"/>
          <w:lang w:val="en-CA"/>
        </w:rPr>
        <w:t>-</w:t>
      </w:r>
      <w:r w:rsidR="00D80AFD">
        <w:rPr>
          <w:rFonts w:ascii="Times New Roman" w:hAnsi="Times New Roman" w:cs="Times New Roman"/>
          <w:shd w:val="clear" w:color="auto" w:fill="FFFFFF"/>
          <w:lang w:val="en-CA"/>
        </w:rPr>
        <w:t xml:space="preserve">related bismarckian </w:t>
      </w:r>
      <w:r w:rsidR="009B0216">
        <w:rPr>
          <w:rFonts w:ascii="Times New Roman" w:hAnsi="Times New Roman" w:cs="Times New Roman"/>
          <w:shd w:val="clear" w:color="auto" w:fill="FFFFFF"/>
          <w:lang w:val="en-CA"/>
        </w:rPr>
        <w:t xml:space="preserve">pension </w:t>
      </w:r>
      <w:r w:rsidR="00D80AFD">
        <w:rPr>
          <w:rFonts w:ascii="Times New Roman" w:hAnsi="Times New Roman" w:cs="Times New Roman"/>
          <w:shd w:val="clear" w:color="auto" w:fill="FFFFFF"/>
          <w:lang w:val="en-CA"/>
        </w:rPr>
        <w:t>systems</w:t>
      </w:r>
      <w:r w:rsidR="00B708C2">
        <w:rPr>
          <w:rFonts w:ascii="Times New Roman" w:hAnsi="Times New Roman" w:cs="Times New Roman"/>
          <w:shd w:val="clear" w:color="auto" w:fill="FFFFFF"/>
          <w:lang w:val="en-CA"/>
        </w:rPr>
        <w:t>,</w:t>
      </w:r>
      <w:r w:rsidR="00D80AFD">
        <w:rPr>
          <w:rFonts w:ascii="Times New Roman" w:hAnsi="Times New Roman" w:cs="Times New Roman"/>
          <w:shd w:val="clear" w:color="auto" w:fill="FFFFFF"/>
          <w:lang w:val="en-CA"/>
        </w:rPr>
        <w:t xml:space="preserve"> </w:t>
      </w:r>
      <w:r w:rsidR="009B0216">
        <w:rPr>
          <w:rFonts w:ascii="Times New Roman" w:hAnsi="Times New Roman" w:cs="Times New Roman"/>
          <w:shd w:val="clear" w:color="auto" w:fill="FFFFFF"/>
          <w:lang w:val="en-CA"/>
        </w:rPr>
        <w:t>have</w:t>
      </w:r>
      <w:r w:rsidR="00D80AFD">
        <w:rPr>
          <w:rFonts w:ascii="Times New Roman" w:hAnsi="Times New Roman" w:cs="Times New Roman"/>
          <w:shd w:val="clear" w:color="auto" w:fill="FFFFFF"/>
          <w:lang w:val="en-CA"/>
        </w:rPr>
        <w:t xml:space="preserve"> a smaller share of elderly population but </w:t>
      </w:r>
      <w:r w:rsidR="008153C2">
        <w:rPr>
          <w:rFonts w:ascii="Times New Roman" w:hAnsi="Times New Roman" w:cs="Times New Roman"/>
          <w:shd w:val="clear" w:color="auto" w:fill="FFFFFF"/>
          <w:lang w:val="en-CA"/>
        </w:rPr>
        <w:t xml:space="preserve">significantly </w:t>
      </w:r>
      <w:r w:rsidR="00D80AFD">
        <w:rPr>
          <w:rFonts w:ascii="Times New Roman" w:hAnsi="Times New Roman" w:cs="Times New Roman"/>
          <w:shd w:val="clear" w:color="auto" w:fill="FFFFFF"/>
          <w:lang w:val="en-CA"/>
        </w:rPr>
        <w:t xml:space="preserve">higher pension expenditures than </w:t>
      </w:r>
      <w:r w:rsidR="008153C2">
        <w:rPr>
          <w:rFonts w:ascii="Times New Roman" w:hAnsi="Times New Roman" w:cs="Times New Roman"/>
          <w:shd w:val="clear" w:color="auto" w:fill="FFFFFF"/>
          <w:lang w:val="en-CA"/>
        </w:rPr>
        <w:t>Finland</w:t>
      </w:r>
      <w:r w:rsidR="00D80AFD">
        <w:rPr>
          <w:rFonts w:ascii="Times New Roman" w:hAnsi="Times New Roman" w:cs="Times New Roman"/>
          <w:shd w:val="clear" w:color="auto" w:fill="FFFFFF"/>
          <w:lang w:val="en-CA"/>
        </w:rPr>
        <w:t>, Belgium</w:t>
      </w:r>
      <w:r w:rsidR="00055BEF">
        <w:rPr>
          <w:rFonts w:ascii="Times New Roman" w:hAnsi="Times New Roman" w:cs="Times New Roman"/>
          <w:shd w:val="clear" w:color="auto" w:fill="FFFFFF"/>
          <w:lang w:val="en-CA"/>
        </w:rPr>
        <w:t>,</w:t>
      </w:r>
      <w:r w:rsidR="00D80AFD">
        <w:rPr>
          <w:rFonts w:ascii="Times New Roman" w:hAnsi="Times New Roman" w:cs="Times New Roman"/>
          <w:shd w:val="clear" w:color="auto" w:fill="FFFFFF"/>
          <w:lang w:val="en-CA"/>
        </w:rPr>
        <w:t xml:space="preserve"> and Sweden, </w:t>
      </w:r>
      <w:r w:rsidR="008153C2">
        <w:rPr>
          <w:rFonts w:ascii="Times New Roman" w:hAnsi="Times New Roman" w:cs="Times New Roman"/>
          <w:shd w:val="clear" w:color="auto" w:fill="FFFFFF"/>
          <w:lang w:val="en-CA"/>
        </w:rPr>
        <w:t xml:space="preserve">three </w:t>
      </w:r>
      <w:r w:rsidR="00D80AFD">
        <w:rPr>
          <w:rFonts w:ascii="Times New Roman" w:hAnsi="Times New Roman" w:cs="Times New Roman"/>
          <w:shd w:val="clear" w:color="auto" w:fill="FFFFFF"/>
          <w:lang w:val="en-CA"/>
        </w:rPr>
        <w:t>cases of targeting within universalism (see online appendix</w:t>
      </w:r>
      <w:r w:rsidR="00763E6A">
        <w:rPr>
          <w:rFonts w:ascii="Times New Roman" w:hAnsi="Times New Roman" w:cs="Times New Roman"/>
          <w:shd w:val="clear" w:color="auto" w:fill="FFFFFF"/>
          <w:lang w:val="en-CA"/>
        </w:rPr>
        <w:t>,</w:t>
      </w:r>
      <w:r w:rsidR="00D80AFD">
        <w:rPr>
          <w:rFonts w:ascii="Times New Roman" w:hAnsi="Times New Roman" w:cs="Times New Roman"/>
          <w:shd w:val="clear" w:color="auto" w:fill="FFFFFF"/>
          <w:lang w:val="en-CA"/>
        </w:rPr>
        <w:t xml:space="preserve"> </w:t>
      </w:r>
      <w:r w:rsidR="00763E6A">
        <w:rPr>
          <w:rFonts w:ascii="Times New Roman" w:hAnsi="Times New Roman" w:cs="Times New Roman"/>
          <w:shd w:val="clear" w:color="auto" w:fill="FFFFFF"/>
          <w:lang w:val="en-CA"/>
        </w:rPr>
        <w:t>F</w:t>
      </w:r>
      <w:r w:rsidR="00D80AFD">
        <w:rPr>
          <w:rFonts w:ascii="Times New Roman" w:hAnsi="Times New Roman" w:cs="Times New Roman"/>
          <w:shd w:val="clear" w:color="auto" w:fill="FFFFFF"/>
          <w:lang w:val="en-CA"/>
        </w:rPr>
        <w:t>igure A</w:t>
      </w:r>
      <w:r>
        <w:rPr>
          <w:rFonts w:ascii="Times New Roman" w:hAnsi="Times New Roman" w:cs="Times New Roman"/>
          <w:shd w:val="clear" w:color="auto" w:fill="FFFFFF"/>
          <w:lang w:val="en-CA"/>
        </w:rPr>
        <w:t>4</w:t>
      </w:r>
      <w:r w:rsidR="008067BC">
        <w:rPr>
          <w:rFonts w:ascii="Times New Roman" w:hAnsi="Times New Roman" w:cs="Times New Roman"/>
          <w:shd w:val="clear" w:color="auto" w:fill="FFFFFF"/>
          <w:lang w:val="en-CA"/>
        </w:rPr>
        <w:t>)</w:t>
      </w:r>
      <w:r w:rsidR="00D80AFD">
        <w:rPr>
          <w:rFonts w:ascii="Times New Roman" w:hAnsi="Times New Roman" w:cs="Times New Roman"/>
          <w:shd w:val="clear" w:color="auto" w:fill="FFFFFF"/>
          <w:lang w:val="en-CA"/>
        </w:rPr>
        <w:t>.</w:t>
      </w:r>
      <w:r w:rsidR="008153C2">
        <w:rPr>
          <w:rFonts w:ascii="Times New Roman" w:hAnsi="Times New Roman" w:cs="Times New Roman"/>
          <w:shd w:val="clear" w:color="auto" w:fill="FFFFFF"/>
          <w:lang w:val="en-CA"/>
        </w:rPr>
        <w:t xml:space="preserve"> </w:t>
      </w:r>
      <w:r w:rsidR="00763E6A">
        <w:rPr>
          <w:rFonts w:ascii="Times New Roman" w:hAnsi="Times New Roman" w:cs="Times New Roman"/>
          <w:shd w:val="clear" w:color="auto" w:fill="FFFFFF"/>
          <w:lang w:val="en-CA"/>
        </w:rPr>
        <w:t>On the contrary</w:t>
      </w:r>
      <w:r w:rsidR="002563EB">
        <w:rPr>
          <w:rFonts w:ascii="Times New Roman" w:hAnsi="Times New Roman" w:cs="Times New Roman"/>
          <w:shd w:val="clear" w:color="auto" w:fill="FFFFFF"/>
          <w:lang w:val="en-CA"/>
        </w:rPr>
        <w:t xml:space="preserve">, </w:t>
      </w:r>
      <w:r w:rsidR="005E4B29">
        <w:rPr>
          <w:rFonts w:ascii="Times New Roman" w:hAnsi="Times New Roman" w:cs="Times New Roman"/>
          <w:shd w:val="clear" w:color="auto" w:fill="FFFFFF"/>
          <w:lang w:val="en-CA"/>
        </w:rPr>
        <w:t xml:space="preserve">pension systems </w:t>
      </w:r>
      <w:r w:rsidR="00763E6A">
        <w:rPr>
          <w:rFonts w:ascii="Times New Roman" w:hAnsi="Times New Roman" w:cs="Times New Roman"/>
          <w:shd w:val="clear" w:color="auto" w:fill="FFFFFF"/>
          <w:lang w:val="en-CA"/>
        </w:rPr>
        <w:t>with</w:t>
      </w:r>
      <w:r w:rsidR="005E4B29">
        <w:rPr>
          <w:rFonts w:ascii="Times New Roman" w:hAnsi="Times New Roman" w:cs="Times New Roman"/>
          <w:shd w:val="clear" w:color="auto" w:fill="FFFFFF"/>
          <w:lang w:val="en-CA"/>
        </w:rPr>
        <w:t xml:space="preserve"> a</w:t>
      </w:r>
      <w:r w:rsidR="00763E6A">
        <w:rPr>
          <w:rFonts w:ascii="Times New Roman" w:hAnsi="Times New Roman" w:cs="Times New Roman"/>
          <w:shd w:val="clear" w:color="auto" w:fill="FFFFFF"/>
          <w:lang w:val="en-CA"/>
        </w:rPr>
        <w:t>n</w:t>
      </w:r>
      <w:r w:rsidR="005E4B29">
        <w:rPr>
          <w:rFonts w:ascii="Times New Roman" w:hAnsi="Times New Roman" w:cs="Times New Roman"/>
          <w:shd w:val="clear" w:color="auto" w:fill="FFFFFF"/>
          <w:lang w:val="en-CA"/>
        </w:rPr>
        <w:t xml:space="preserve"> </w:t>
      </w:r>
      <w:r w:rsidR="00763E6A">
        <w:rPr>
          <w:rFonts w:ascii="Times New Roman" w:hAnsi="Times New Roman" w:cs="Times New Roman"/>
          <w:shd w:val="clear" w:color="auto" w:fill="FFFFFF"/>
          <w:lang w:val="en-CA"/>
        </w:rPr>
        <w:t>important</w:t>
      </w:r>
      <w:r w:rsidR="005E4B29">
        <w:rPr>
          <w:rFonts w:ascii="Times New Roman" w:hAnsi="Times New Roman" w:cs="Times New Roman"/>
          <w:shd w:val="clear" w:color="auto" w:fill="FFFFFF"/>
          <w:lang w:val="en-CA"/>
        </w:rPr>
        <w:t xml:space="preserve"> first tier </w:t>
      </w:r>
      <w:r w:rsidR="00763E6A">
        <w:rPr>
          <w:rFonts w:ascii="Times New Roman" w:hAnsi="Times New Roman" w:cs="Times New Roman"/>
          <w:shd w:val="clear" w:color="auto" w:fill="FFFFFF"/>
          <w:lang w:val="en-CA"/>
        </w:rPr>
        <w:t>end up with lower</w:t>
      </w:r>
      <w:r w:rsidR="005E4B29">
        <w:rPr>
          <w:rFonts w:ascii="Times New Roman" w:hAnsi="Times New Roman" w:cs="Times New Roman"/>
          <w:shd w:val="clear" w:color="auto" w:fill="FFFFFF"/>
          <w:lang w:val="en-CA"/>
        </w:rPr>
        <w:t xml:space="preserve"> expenditures. Denmark and Norway</w:t>
      </w:r>
      <w:r w:rsidR="00763E6A">
        <w:rPr>
          <w:rFonts w:ascii="Times New Roman" w:hAnsi="Times New Roman" w:cs="Times New Roman"/>
          <w:shd w:val="clear" w:color="auto" w:fill="FFFFFF"/>
          <w:lang w:val="en-CA"/>
        </w:rPr>
        <w:t>, for instance,</w:t>
      </w:r>
      <w:r w:rsidR="005E4B29">
        <w:rPr>
          <w:rFonts w:ascii="Times New Roman" w:hAnsi="Times New Roman" w:cs="Times New Roman"/>
          <w:shd w:val="clear" w:color="auto" w:fill="FFFFFF"/>
          <w:lang w:val="en-CA"/>
        </w:rPr>
        <w:t xml:space="preserve"> </w:t>
      </w:r>
      <w:r w:rsidR="008153C2">
        <w:rPr>
          <w:rFonts w:ascii="Times New Roman" w:hAnsi="Times New Roman" w:cs="Times New Roman"/>
          <w:shd w:val="clear" w:color="auto" w:fill="FFFFFF"/>
          <w:lang w:val="en-CA"/>
        </w:rPr>
        <w:t>have a</w:t>
      </w:r>
      <w:r w:rsidR="00763E6A">
        <w:rPr>
          <w:rFonts w:ascii="Times New Roman" w:hAnsi="Times New Roman" w:cs="Times New Roman"/>
          <w:shd w:val="clear" w:color="auto" w:fill="FFFFFF"/>
          <w:lang w:val="en-CA"/>
        </w:rPr>
        <w:t xml:space="preserve"> relatively</w:t>
      </w:r>
      <w:r w:rsidR="008153C2">
        <w:rPr>
          <w:rFonts w:ascii="Times New Roman" w:hAnsi="Times New Roman" w:cs="Times New Roman"/>
          <w:shd w:val="clear" w:color="auto" w:fill="FFFFFF"/>
          <w:lang w:val="en-CA"/>
        </w:rPr>
        <w:t xml:space="preserve"> young population, but </w:t>
      </w:r>
      <w:r w:rsidR="009B0216">
        <w:rPr>
          <w:rFonts w:ascii="Times New Roman" w:hAnsi="Times New Roman" w:cs="Times New Roman"/>
          <w:shd w:val="clear" w:color="auto" w:fill="FFFFFF"/>
          <w:lang w:val="en-CA"/>
        </w:rPr>
        <w:t>their</w:t>
      </w:r>
      <w:r w:rsidR="00763E6A">
        <w:rPr>
          <w:rFonts w:ascii="Times New Roman" w:hAnsi="Times New Roman" w:cs="Times New Roman"/>
          <w:shd w:val="clear" w:color="auto" w:fill="FFFFFF"/>
          <w:lang w:val="en-CA"/>
        </w:rPr>
        <w:t xml:space="preserve"> large</w:t>
      </w:r>
      <w:r w:rsidR="008153C2">
        <w:rPr>
          <w:rFonts w:ascii="Times New Roman" w:hAnsi="Times New Roman" w:cs="Times New Roman"/>
          <w:shd w:val="clear" w:color="auto" w:fill="FFFFFF"/>
          <w:lang w:val="en-CA"/>
        </w:rPr>
        <w:t xml:space="preserve"> first tier</w:t>
      </w:r>
      <w:r w:rsidR="00763E6A">
        <w:rPr>
          <w:rFonts w:ascii="Times New Roman" w:hAnsi="Times New Roman" w:cs="Times New Roman"/>
          <w:shd w:val="clear" w:color="auto" w:fill="FFFFFF"/>
          <w:lang w:val="en-CA"/>
        </w:rPr>
        <w:t xml:space="preserve">, even compared to </w:t>
      </w:r>
      <w:r w:rsidR="00763E6A">
        <w:rPr>
          <w:rFonts w:ascii="Times New Roman" w:hAnsi="Times New Roman" w:cs="Times New Roman"/>
          <w:shd w:val="clear" w:color="auto" w:fill="FFFFFF"/>
          <w:lang w:val="en-CA"/>
        </w:rPr>
        <w:lastRenderedPageBreak/>
        <w:t>other universalist countries, also limit their</w:t>
      </w:r>
      <w:r w:rsidR="008153C2">
        <w:rPr>
          <w:rFonts w:ascii="Times New Roman" w:hAnsi="Times New Roman" w:cs="Times New Roman"/>
          <w:shd w:val="clear" w:color="auto" w:fill="FFFFFF"/>
          <w:lang w:val="en-CA"/>
        </w:rPr>
        <w:t xml:space="preserve"> pension expenditures (see</w:t>
      </w:r>
      <w:r w:rsidR="00763E6A">
        <w:rPr>
          <w:rFonts w:ascii="Times New Roman" w:hAnsi="Times New Roman" w:cs="Times New Roman"/>
          <w:shd w:val="clear" w:color="auto" w:fill="FFFFFF"/>
          <w:lang w:val="en-CA"/>
        </w:rPr>
        <w:t xml:space="preserve"> online</w:t>
      </w:r>
      <w:r w:rsidR="008153C2">
        <w:rPr>
          <w:rFonts w:ascii="Times New Roman" w:hAnsi="Times New Roman" w:cs="Times New Roman"/>
          <w:shd w:val="clear" w:color="auto" w:fill="FFFFFF"/>
          <w:lang w:val="en-CA"/>
        </w:rPr>
        <w:t xml:space="preserve"> appendix</w:t>
      </w:r>
      <w:r w:rsidR="00763E6A">
        <w:rPr>
          <w:rFonts w:ascii="Times New Roman" w:hAnsi="Times New Roman" w:cs="Times New Roman"/>
          <w:shd w:val="clear" w:color="auto" w:fill="FFFFFF"/>
          <w:lang w:val="en-CA"/>
        </w:rPr>
        <w:t>,</w:t>
      </w:r>
      <w:r w:rsidR="008153C2">
        <w:rPr>
          <w:rFonts w:ascii="Times New Roman" w:hAnsi="Times New Roman" w:cs="Times New Roman"/>
          <w:shd w:val="clear" w:color="auto" w:fill="FFFFFF"/>
          <w:lang w:val="en-CA"/>
        </w:rPr>
        <w:t xml:space="preserve"> </w:t>
      </w:r>
      <w:r w:rsidR="00763E6A">
        <w:rPr>
          <w:rFonts w:ascii="Times New Roman" w:hAnsi="Times New Roman" w:cs="Times New Roman"/>
          <w:shd w:val="clear" w:color="auto" w:fill="FFFFFF"/>
          <w:lang w:val="en-CA"/>
        </w:rPr>
        <w:t>F</w:t>
      </w:r>
      <w:r w:rsidR="008153C2">
        <w:rPr>
          <w:rFonts w:ascii="Times New Roman" w:hAnsi="Times New Roman" w:cs="Times New Roman"/>
          <w:shd w:val="clear" w:color="auto" w:fill="FFFFFF"/>
          <w:lang w:val="en-CA"/>
        </w:rPr>
        <w:t>igure</w:t>
      </w:r>
      <w:r w:rsidR="00763E6A">
        <w:rPr>
          <w:rFonts w:ascii="Times New Roman" w:hAnsi="Times New Roman" w:cs="Times New Roman"/>
          <w:shd w:val="clear" w:color="auto" w:fill="FFFFFF"/>
          <w:lang w:val="en-CA"/>
        </w:rPr>
        <w:t>s</w:t>
      </w:r>
      <w:r w:rsidR="008153C2">
        <w:rPr>
          <w:rFonts w:ascii="Times New Roman" w:hAnsi="Times New Roman" w:cs="Times New Roman"/>
          <w:shd w:val="clear" w:color="auto" w:fill="FFFFFF"/>
          <w:lang w:val="en-CA"/>
        </w:rPr>
        <w:t xml:space="preserve"> A</w:t>
      </w:r>
      <w:r>
        <w:rPr>
          <w:rFonts w:ascii="Times New Roman" w:hAnsi="Times New Roman" w:cs="Times New Roman"/>
          <w:shd w:val="clear" w:color="auto" w:fill="FFFFFF"/>
          <w:lang w:val="en-CA"/>
        </w:rPr>
        <w:t>5</w:t>
      </w:r>
      <w:r w:rsidR="00630844">
        <w:rPr>
          <w:rFonts w:ascii="Times New Roman" w:hAnsi="Times New Roman" w:cs="Times New Roman"/>
          <w:shd w:val="clear" w:color="auto" w:fill="FFFFFF"/>
          <w:lang w:val="en-CA"/>
        </w:rPr>
        <w:t xml:space="preserve"> and A</w:t>
      </w:r>
      <w:r>
        <w:rPr>
          <w:rFonts w:ascii="Times New Roman" w:hAnsi="Times New Roman" w:cs="Times New Roman"/>
          <w:shd w:val="clear" w:color="auto" w:fill="FFFFFF"/>
          <w:lang w:val="en-CA"/>
        </w:rPr>
        <w:t>6</w:t>
      </w:r>
      <w:r w:rsidR="008153C2">
        <w:rPr>
          <w:rFonts w:ascii="Times New Roman" w:hAnsi="Times New Roman" w:cs="Times New Roman"/>
          <w:shd w:val="clear" w:color="auto" w:fill="FFFFFF"/>
          <w:lang w:val="en-CA"/>
        </w:rPr>
        <w:t xml:space="preserve">). </w:t>
      </w:r>
      <w:r w:rsidR="005E4B29">
        <w:rPr>
          <w:rFonts w:ascii="Times New Roman" w:hAnsi="Times New Roman" w:cs="Times New Roman"/>
          <w:shd w:val="clear" w:color="auto" w:fill="FFFFFF"/>
          <w:lang w:val="en-CA"/>
        </w:rPr>
        <w:t xml:space="preserve">While Italy has among the oldest population of the sample, it is conceivable that </w:t>
      </w:r>
      <w:r w:rsidR="00763E6A">
        <w:rPr>
          <w:rFonts w:ascii="Times New Roman" w:hAnsi="Times New Roman" w:cs="Times New Roman"/>
          <w:shd w:val="clear" w:color="auto" w:fill="FFFFFF"/>
          <w:lang w:val="en-CA"/>
        </w:rPr>
        <w:t>it</w:t>
      </w:r>
      <w:r w:rsidR="005E4B29">
        <w:rPr>
          <w:rFonts w:ascii="Times New Roman" w:hAnsi="Times New Roman" w:cs="Times New Roman"/>
          <w:shd w:val="clear" w:color="auto" w:fill="FFFFFF"/>
          <w:lang w:val="en-CA"/>
        </w:rPr>
        <w:t xml:space="preserve"> would spend less if its </w:t>
      </w:r>
      <w:r w:rsidR="00763E6A">
        <w:rPr>
          <w:rFonts w:ascii="Times New Roman" w:hAnsi="Times New Roman" w:cs="Times New Roman"/>
          <w:shd w:val="clear" w:color="auto" w:fill="FFFFFF"/>
          <w:lang w:val="en-CA"/>
        </w:rPr>
        <w:t xml:space="preserve">pension </w:t>
      </w:r>
      <w:r w:rsidR="005E4B29">
        <w:rPr>
          <w:rFonts w:ascii="Times New Roman" w:hAnsi="Times New Roman" w:cs="Times New Roman"/>
          <w:shd w:val="clear" w:color="auto" w:fill="FFFFFF"/>
          <w:lang w:val="en-CA"/>
        </w:rPr>
        <w:t>system was less earnings</w:t>
      </w:r>
      <w:r w:rsidR="00763E6A">
        <w:rPr>
          <w:rFonts w:ascii="Times New Roman" w:hAnsi="Times New Roman" w:cs="Times New Roman"/>
          <w:shd w:val="clear" w:color="auto" w:fill="FFFFFF"/>
          <w:lang w:val="en-CA"/>
        </w:rPr>
        <w:t>-</w:t>
      </w:r>
      <w:r w:rsidR="005E4B29">
        <w:rPr>
          <w:rFonts w:ascii="Times New Roman" w:hAnsi="Times New Roman" w:cs="Times New Roman"/>
          <w:shd w:val="clear" w:color="auto" w:fill="FFFFFF"/>
          <w:lang w:val="en-CA"/>
        </w:rPr>
        <w:t xml:space="preserve">related. </w:t>
      </w:r>
    </w:p>
    <w:p w14:paraId="1A820823" w14:textId="2B4E0D84" w:rsidR="007F1112" w:rsidRDefault="00B25E2F" w:rsidP="007F1112">
      <w:pPr>
        <w:spacing w:line="480" w:lineRule="auto"/>
        <w:ind w:firstLine="708"/>
        <w:jc w:val="both"/>
        <w:rPr>
          <w:rFonts w:ascii="Times New Roman" w:hAnsi="Times New Roman" w:cs="Times New Roman"/>
          <w:u w:val="single"/>
          <w:shd w:val="clear" w:color="auto" w:fill="FFFFFF"/>
          <w:lang w:val="en-CA"/>
        </w:rPr>
      </w:pPr>
      <w:r>
        <w:rPr>
          <w:rFonts w:ascii="Times New Roman" w:hAnsi="Times New Roman" w:cs="Times New Roman"/>
          <w:shd w:val="clear" w:color="auto" w:fill="FFFFFF"/>
          <w:lang w:val="en-US"/>
        </w:rPr>
        <w:t>Th</w:t>
      </w:r>
      <w:r w:rsidR="00E34850">
        <w:rPr>
          <w:rFonts w:ascii="Times New Roman" w:hAnsi="Times New Roman" w:cs="Times New Roman"/>
          <w:shd w:val="clear" w:color="auto" w:fill="FFFFFF"/>
          <w:lang w:val="en-US"/>
        </w:rPr>
        <w:t>e</w:t>
      </w:r>
      <w:r>
        <w:rPr>
          <w:rFonts w:ascii="Times New Roman" w:hAnsi="Times New Roman" w:cs="Times New Roman"/>
          <w:shd w:val="clear" w:color="auto" w:fill="FFFFFF"/>
          <w:lang w:val="en-US"/>
        </w:rPr>
        <w:t xml:space="preserve"> relationship between earnings-related pensions and levels of old age expenditures holds</w:t>
      </w:r>
      <w:r w:rsidR="007F1112">
        <w:rPr>
          <w:rFonts w:ascii="Times New Roman" w:hAnsi="Times New Roman" w:cs="Times New Roman"/>
          <w:shd w:val="clear" w:color="auto" w:fill="FFFFFF"/>
          <w:lang w:val="en-US"/>
        </w:rPr>
        <w:t xml:space="preserve"> just</w:t>
      </w:r>
      <w:r>
        <w:rPr>
          <w:rFonts w:ascii="Times New Roman" w:hAnsi="Times New Roman" w:cs="Times New Roman"/>
          <w:shd w:val="clear" w:color="auto" w:fill="FFFFFF"/>
          <w:lang w:val="en-US"/>
        </w:rPr>
        <w:t xml:space="preserve"> as well </w:t>
      </w:r>
      <w:r w:rsidR="007F1112">
        <w:rPr>
          <w:rFonts w:ascii="Times New Roman" w:hAnsi="Times New Roman" w:cs="Times New Roman"/>
          <w:shd w:val="clear" w:color="auto" w:fill="FFFFFF"/>
          <w:lang w:val="en-US"/>
        </w:rPr>
        <w:t>i</w:t>
      </w:r>
      <w:r w:rsidR="00055BEF">
        <w:rPr>
          <w:rFonts w:ascii="Times New Roman" w:hAnsi="Times New Roman" w:cs="Times New Roman"/>
          <w:shd w:val="clear" w:color="auto" w:fill="FFFFFF"/>
          <w:lang w:val="en-US"/>
        </w:rPr>
        <w:t>f</w:t>
      </w:r>
      <w:r w:rsidR="007F1112">
        <w:rPr>
          <w:rFonts w:ascii="Times New Roman" w:hAnsi="Times New Roman" w:cs="Times New Roman"/>
          <w:shd w:val="clear" w:color="auto" w:fill="FFFFFF"/>
          <w:lang w:val="en-US"/>
        </w:rPr>
        <w:t xml:space="preserve"> we consider only</w:t>
      </w:r>
      <w:r>
        <w:rPr>
          <w:rFonts w:ascii="Times New Roman" w:hAnsi="Times New Roman" w:cs="Times New Roman"/>
          <w:shd w:val="clear" w:color="auto" w:fill="FFFFFF"/>
          <w:lang w:val="en-US"/>
        </w:rPr>
        <w:t xml:space="preserve"> universal welfare states (R = - 0.59). </w:t>
      </w:r>
      <w:r w:rsidR="00D042DA">
        <w:rPr>
          <w:rFonts w:ascii="Times New Roman" w:hAnsi="Times New Roman" w:cs="Times New Roman"/>
          <w:shd w:val="clear" w:color="auto" w:fill="FFFFFF"/>
          <w:lang w:val="en-US"/>
        </w:rPr>
        <w:t xml:space="preserve"> These </w:t>
      </w:r>
      <w:r w:rsidR="007F1112">
        <w:rPr>
          <w:rFonts w:ascii="Times New Roman" w:hAnsi="Times New Roman" w:cs="Times New Roman"/>
          <w:shd w:val="clear" w:color="auto" w:fill="FFFFFF"/>
          <w:lang w:val="en-US"/>
        </w:rPr>
        <w:t>patterns</w:t>
      </w:r>
      <w:r w:rsidR="00645EF0">
        <w:rPr>
          <w:rFonts w:ascii="Times New Roman" w:hAnsi="Times New Roman" w:cs="Times New Roman"/>
          <w:shd w:val="clear" w:color="auto" w:fill="FFFFFF"/>
          <w:lang w:val="en-US"/>
        </w:rPr>
        <w:t xml:space="preserve"> help di</w:t>
      </w:r>
      <w:r w:rsidR="00C92166">
        <w:rPr>
          <w:rFonts w:ascii="Times New Roman" w:hAnsi="Times New Roman" w:cs="Times New Roman"/>
          <w:shd w:val="clear" w:color="auto" w:fill="FFFFFF"/>
          <w:lang w:val="en-US"/>
        </w:rPr>
        <w:t>fferentiate</w:t>
      </w:r>
      <w:r w:rsidR="00645EF0">
        <w:rPr>
          <w:rFonts w:ascii="Times New Roman" w:hAnsi="Times New Roman" w:cs="Times New Roman"/>
          <w:shd w:val="clear" w:color="auto" w:fill="FFFFFF"/>
          <w:lang w:val="en-US"/>
        </w:rPr>
        <w:t xml:space="preserve"> targeting within universalism, wh</w:t>
      </w:r>
      <w:r w:rsidR="00C92166">
        <w:rPr>
          <w:rFonts w:ascii="Times New Roman" w:hAnsi="Times New Roman" w:cs="Times New Roman"/>
          <w:shd w:val="clear" w:color="auto" w:fill="FFFFFF"/>
          <w:lang w:val="en-US"/>
        </w:rPr>
        <w:t>i</w:t>
      </w:r>
      <w:r w:rsidR="00645EF0">
        <w:rPr>
          <w:rFonts w:ascii="Times New Roman" w:hAnsi="Times New Roman" w:cs="Times New Roman"/>
          <w:shd w:val="clear" w:color="auto" w:fill="FFFFFF"/>
          <w:lang w:val="en-US"/>
        </w:rPr>
        <w:t xml:space="preserve">ch provides relatively generous pensions to low-income individuals, </w:t>
      </w:r>
      <w:r w:rsidR="00C92166">
        <w:rPr>
          <w:rFonts w:ascii="Times New Roman" w:hAnsi="Times New Roman" w:cs="Times New Roman"/>
          <w:shd w:val="clear" w:color="auto" w:fill="FFFFFF"/>
          <w:lang w:val="en-US"/>
        </w:rPr>
        <w:t>from</w:t>
      </w:r>
      <w:r w:rsidR="00645EF0">
        <w:rPr>
          <w:rFonts w:ascii="Times New Roman" w:hAnsi="Times New Roman" w:cs="Times New Roman"/>
          <w:shd w:val="clear" w:color="auto" w:fill="FFFFFF"/>
          <w:lang w:val="en-US"/>
        </w:rPr>
        <w:t xml:space="preserve"> universal</w:t>
      </w:r>
      <w:r w:rsidR="00C92166">
        <w:rPr>
          <w:rFonts w:ascii="Times New Roman" w:hAnsi="Times New Roman" w:cs="Times New Roman"/>
          <w:shd w:val="clear" w:color="auto" w:fill="FFFFFF"/>
          <w:lang w:val="en-US"/>
        </w:rPr>
        <w:t xml:space="preserve">ism, where </w:t>
      </w:r>
      <w:r>
        <w:rPr>
          <w:rFonts w:ascii="Times New Roman" w:hAnsi="Times New Roman" w:cs="Times New Roman"/>
          <w:shd w:val="clear" w:color="auto" w:fill="FFFFFF"/>
          <w:lang w:val="en-US"/>
        </w:rPr>
        <w:t>strong earnings-related contributory pension systems</w:t>
      </w:r>
      <w:r w:rsidR="00C92166">
        <w:rPr>
          <w:rFonts w:ascii="Times New Roman" w:hAnsi="Times New Roman" w:cs="Times New Roman"/>
          <w:shd w:val="clear" w:color="auto" w:fill="FFFFFF"/>
          <w:lang w:val="en-US"/>
        </w:rPr>
        <w:t xml:space="preserve"> tend to be maintained</w:t>
      </w:r>
      <w:r w:rsidR="00645EF0">
        <w:rPr>
          <w:rFonts w:ascii="Times New Roman" w:hAnsi="Times New Roman" w:cs="Times New Roman"/>
          <w:shd w:val="clear" w:color="auto" w:fill="FFFFFF"/>
          <w:lang w:val="en-US"/>
        </w:rPr>
        <w:t xml:space="preserve">. </w:t>
      </w:r>
      <w:r w:rsidR="007F1112">
        <w:rPr>
          <w:rFonts w:ascii="Times New Roman" w:hAnsi="Times New Roman" w:cs="Times New Roman"/>
          <w:shd w:val="clear" w:color="auto" w:fill="FFFFFF"/>
          <w:lang w:val="en-US"/>
        </w:rPr>
        <w:t>Targeting within universalism, however, is not only an effect of pension systems. It concerns</w:t>
      </w:r>
      <w:r w:rsidR="00645EF0">
        <w:rPr>
          <w:rFonts w:ascii="Times New Roman" w:hAnsi="Times New Roman" w:cs="Times New Roman"/>
          <w:shd w:val="clear" w:color="auto" w:fill="FFFFFF"/>
          <w:lang w:val="en-US"/>
        </w:rPr>
        <w:t xml:space="preserve"> </w:t>
      </w:r>
      <w:r w:rsidR="007F1112">
        <w:rPr>
          <w:rFonts w:ascii="Times New Roman" w:hAnsi="Times New Roman" w:cs="Times New Roman"/>
          <w:shd w:val="clear" w:color="auto" w:fill="FFFFFF"/>
          <w:lang w:val="en-US"/>
        </w:rPr>
        <w:t>programs for working age adults</w:t>
      </w:r>
      <w:r w:rsidR="00645EF0">
        <w:rPr>
          <w:rFonts w:ascii="Times New Roman" w:hAnsi="Times New Roman" w:cs="Times New Roman"/>
          <w:shd w:val="clear" w:color="auto" w:fill="FFFFFF"/>
          <w:lang w:val="en-US"/>
        </w:rPr>
        <w:t xml:space="preserve"> as well</w:t>
      </w:r>
      <w:r w:rsidR="007F1112">
        <w:rPr>
          <w:rFonts w:ascii="Times New Roman" w:hAnsi="Times New Roman" w:cs="Times New Roman"/>
          <w:shd w:val="clear" w:color="auto" w:fill="FFFFFF"/>
          <w:lang w:val="en-US"/>
        </w:rPr>
        <w:t>.</w:t>
      </w:r>
    </w:p>
    <w:p w14:paraId="576EDF28" w14:textId="77777777" w:rsidR="007F1112" w:rsidRDefault="007F1112" w:rsidP="007F1112">
      <w:pPr>
        <w:spacing w:line="480" w:lineRule="auto"/>
        <w:ind w:firstLine="708"/>
        <w:jc w:val="both"/>
        <w:rPr>
          <w:rFonts w:ascii="Times New Roman" w:hAnsi="Times New Roman" w:cs="Times New Roman"/>
          <w:u w:val="single"/>
          <w:shd w:val="clear" w:color="auto" w:fill="FFFFFF"/>
          <w:lang w:val="en-CA"/>
        </w:rPr>
      </w:pPr>
    </w:p>
    <w:p w14:paraId="5B25267C" w14:textId="3B1CB595" w:rsidR="00B3750C" w:rsidRPr="007F1112" w:rsidRDefault="00B3750C" w:rsidP="007F1112">
      <w:pPr>
        <w:spacing w:line="480" w:lineRule="auto"/>
        <w:ind w:firstLine="708"/>
        <w:jc w:val="both"/>
        <w:rPr>
          <w:rFonts w:ascii="Times New Roman" w:hAnsi="Times New Roman" w:cs="Times New Roman"/>
          <w:shd w:val="clear" w:color="auto" w:fill="FFFFFF"/>
          <w:lang w:val="en-US"/>
        </w:rPr>
      </w:pPr>
      <w:r w:rsidRPr="007B7233">
        <w:rPr>
          <w:rFonts w:ascii="Times New Roman" w:hAnsi="Times New Roman" w:cs="Times New Roman"/>
          <w:u w:val="single"/>
          <w:shd w:val="clear" w:color="auto" w:fill="FFFFFF"/>
          <w:lang w:val="en-CA"/>
        </w:rPr>
        <w:t xml:space="preserve">2.2. </w:t>
      </w:r>
      <w:r w:rsidR="00D042DA">
        <w:rPr>
          <w:rFonts w:ascii="Times New Roman" w:hAnsi="Times New Roman" w:cs="Times New Roman"/>
          <w:u w:val="single"/>
          <w:shd w:val="clear" w:color="auto" w:fill="FFFFFF"/>
          <w:lang w:val="en-CA"/>
        </w:rPr>
        <w:t>Transfers to w</w:t>
      </w:r>
      <w:r w:rsidRPr="007B7233">
        <w:rPr>
          <w:rFonts w:ascii="Times New Roman" w:hAnsi="Times New Roman" w:cs="Times New Roman"/>
          <w:u w:val="single"/>
          <w:shd w:val="clear" w:color="auto" w:fill="FFFFFF"/>
          <w:lang w:val="en-CA"/>
        </w:rPr>
        <w:t xml:space="preserve">orking age </w:t>
      </w:r>
      <w:r w:rsidR="00D042DA">
        <w:rPr>
          <w:rFonts w:ascii="Times New Roman" w:hAnsi="Times New Roman" w:cs="Times New Roman"/>
          <w:u w:val="single"/>
          <w:shd w:val="clear" w:color="auto" w:fill="FFFFFF"/>
          <w:lang w:val="en-CA"/>
        </w:rPr>
        <w:t>adults</w:t>
      </w:r>
      <w:r w:rsidR="00A745CA">
        <w:rPr>
          <w:rFonts w:ascii="Times New Roman" w:hAnsi="Times New Roman" w:cs="Times New Roman"/>
          <w:u w:val="single"/>
          <w:shd w:val="clear" w:color="auto" w:fill="FFFFFF"/>
          <w:lang w:val="en-CA"/>
        </w:rPr>
        <w:t>:</w:t>
      </w:r>
      <w:r w:rsidR="00D042DA">
        <w:rPr>
          <w:rFonts w:ascii="Times New Roman" w:hAnsi="Times New Roman" w:cs="Times New Roman"/>
          <w:u w:val="single"/>
          <w:shd w:val="clear" w:color="auto" w:fill="FFFFFF"/>
          <w:lang w:val="en-CA"/>
        </w:rPr>
        <w:t xml:space="preserve"> </w:t>
      </w:r>
      <w:r w:rsidRPr="007B7233">
        <w:rPr>
          <w:rFonts w:ascii="Times New Roman" w:hAnsi="Times New Roman" w:cs="Times New Roman"/>
          <w:u w:val="single"/>
          <w:shd w:val="clear" w:color="auto" w:fill="FFFFFF"/>
          <w:lang w:val="en-CA"/>
        </w:rPr>
        <w:t xml:space="preserve">pro-poor </w:t>
      </w:r>
      <w:r w:rsidR="00905C2A">
        <w:rPr>
          <w:rFonts w:ascii="Times New Roman" w:hAnsi="Times New Roman" w:cs="Times New Roman"/>
          <w:u w:val="single"/>
          <w:shd w:val="clear" w:color="auto" w:fill="FFFFFF"/>
          <w:lang w:val="en-CA"/>
        </w:rPr>
        <w:t>targeting</w:t>
      </w:r>
      <w:r w:rsidR="00D042DA">
        <w:rPr>
          <w:rFonts w:ascii="Times New Roman" w:hAnsi="Times New Roman" w:cs="Times New Roman"/>
          <w:u w:val="single"/>
          <w:shd w:val="clear" w:color="auto" w:fill="FFFFFF"/>
          <w:lang w:val="en-CA"/>
        </w:rPr>
        <w:t xml:space="preserve"> without a means test</w:t>
      </w:r>
    </w:p>
    <w:p w14:paraId="466C5847" w14:textId="77777777" w:rsidR="00C92166" w:rsidRDefault="00B3750C" w:rsidP="00B3750C">
      <w:pPr>
        <w:spacing w:line="480" w:lineRule="auto"/>
        <w:jc w:val="both"/>
        <w:rPr>
          <w:rFonts w:ascii="Times New Roman" w:hAnsi="Times New Roman" w:cs="Times New Roman"/>
          <w:shd w:val="clear" w:color="auto" w:fill="FFFFFF"/>
          <w:lang w:val="en-CA"/>
        </w:rPr>
      </w:pPr>
      <w:r w:rsidRPr="007B7233">
        <w:rPr>
          <w:rFonts w:ascii="Times New Roman" w:hAnsi="Times New Roman" w:cs="Times New Roman"/>
          <w:shd w:val="clear" w:color="auto" w:fill="FFFFFF"/>
          <w:lang w:val="en-CA"/>
        </w:rPr>
        <w:tab/>
      </w:r>
    </w:p>
    <w:p w14:paraId="472133D7" w14:textId="7AAC60EB" w:rsidR="00232C48" w:rsidRDefault="00A745CA" w:rsidP="004D1F6A">
      <w:pPr>
        <w:spacing w:line="480" w:lineRule="auto"/>
        <w:ind w:firstLine="708"/>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 xml:space="preserve">Many programs aimed at working age adults are means-tested, </w:t>
      </w:r>
      <w:r w:rsidR="007F1112">
        <w:rPr>
          <w:rFonts w:ascii="Times New Roman" w:hAnsi="Times New Roman" w:cs="Times New Roman"/>
          <w:shd w:val="clear" w:color="auto" w:fill="FFFFFF"/>
          <w:lang w:val="en-CA"/>
        </w:rPr>
        <w:t>as can be gathered from</w:t>
      </w:r>
      <w:r>
        <w:rPr>
          <w:rFonts w:ascii="Times New Roman" w:hAnsi="Times New Roman" w:cs="Times New Roman"/>
          <w:shd w:val="clear" w:color="auto" w:fill="FFFFFF"/>
          <w:lang w:val="en-CA"/>
        </w:rPr>
        <w:t xml:space="preserve"> the </w:t>
      </w:r>
      <w:r w:rsidR="00B3750C" w:rsidRPr="007B7233">
        <w:rPr>
          <w:rFonts w:ascii="Times New Roman" w:hAnsi="Times New Roman" w:cs="Times New Roman"/>
          <w:shd w:val="clear" w:color="auto" w:fill="FFFFFF"/>
          <w:lang w:val="en-CA"/>
        </w:rPr>
        <w:t xml:space="preserve">OECD </w:t>
      </w:r>
      <w:r>
        <w:rPr>
          <w:rFonts w:ascii="Times New Roman" w:hAnsi="Times New Roman" w:cs="Times New Roman"/>
          <w:shd w:val="clear" w:color="auto" w:fill="FFFFFF"/>
          <w:lang w:val="en-CA"/>
        </w:rPr>
        <w:t>measure of</w:t>
      </w:r>
      <w:r w:rsidR="00B3750C" w:rsidRPr="007B7233">
        <w:rPr>
          <w:rFonts w:ascii="Times New Roman" w:hAnsi="Times New Roman" w:cs="Times New Roman"/>
          <w:shd w:val="clear" w:color="auto" w:fill="FFFFFF"/>
          <w:lang w:val="en-CA"/>
        </w:rPr>
        <w:t xml:space="preserve"> income-tested transfers used</w:t>
      </w:r>
      <w:r w:rsidR="007F1112">
        <w:rPr>
          <w:rFonts w:ascii="Times New Roman" w:hAnsi="Times New Roman" w:cs="Times New Roman"/>
          <w:shd w:val="clear" w:color="auto" w:fill="FFFFFF"/>
          <w:lang w:val="en-CA"/>
        </w:rPr>
        <w:t xml:space="preserve"> here</w:t>
      </w:r>
      <w:r w:rsidR="00B3750C" w:rsidRPr="007B7233">
        <w:rPr>
          <w:rFonts w:ascii="Times New Roman" w:hAnsi="Times New Roman" w:cs="Times New Roman"/>
          <w:shd w:val="clear" w:color="auto" w:fill="FFFFFF"/>
          <w:lang w:val="en-CA"/>
        </w:rPr>
        <w:t xml:space="preserve"> to build the index of universalism. These benefits include income-tested </w:t>
      </w:r>
      <w:r>
        <w:rPr>
          <w:rFonts w:ascii="Times New Roman" w:hAnsi="Times New Roman" w:cs="Times New Roman"/>
          <w:shd w:val="clear" w:color="auto" w:fill="FFFFFF"/>
          <w:lang w:val="en-CA"/>
        </w:rPr>
        <w:t>measures</w:t>
      </w:r>
      <w:r w:rsidR="00B3750C" w:rsidRPr="007B7233">
        <w:rPr>
          <w:rFonts w:ascii="Times New Roman" w:hAnsi="Times New Roman" w:cs="Times New Roman"/>
          <w:shd w:val="clear" w:color="auto" w:fill="FFFFFF"/>
          <w:lang w:val="en-CA"/>
        </w:rPr>
        <w:t xml:space="preserve"> for families, the unemployed, </w:t>
      </w:r>
      <w:r>
        <w:rPr>
          <w:rFonts w:ascii="Times New Roman" w:hAnsi="Times New Roman" w:cs="Times New Roman"/>
          <w:shd w:val="clear" w:color="auto" w:fill="FFFFFF"/>
          <w:lang w:val="en-CA"/>
        </w:rPr>
        <w:t xml:space="preserve">or persons with </w:t>
      </w:r>
      <w:r w:rsidR="00B3750C" w:rsidRPr="007B7233">
        <w:rPr>
          <w:rFonts w:ascii="Times New Roman" w:hAnsi="Times New Roman" w:cs="Times New Roman"/>
          <w:shd w:val="clear" w:color="auto" w:fill="FFFFFF"/>
          <w:lang w:val="en-CA"/>
        </w:rPr>
        <w:t>disab</w:t>
      </w:r>
      <w:r>
        <w:rPr>
          <w:rFonts w:ascii="Times New Roman" w:hAnsi="Times New Roman" w:cs="Times New Roman"/>
          <w:shd w:val="clear" w:color="auto" w:fill="FFFFFF"/>
          <w:lang w:val="en-CA"/>
        </w:rPr>
        <w:t xml:space="preserve">ilities </w:t>
      </w:r>
      <w:r w:rsidR="00B3750C" w:rsidRPr="007B7233">
        <w:rPr>
          <w:rFonts w:ascii="Times New Roman" w:hAnsi="Times New Roman" w:cs="Times New Roman"/>
          <w:shd w:val="clear" w:color="auto" w:fill="FFFFFF"/>
          <w:lang w:val="en-CA"/>
        </w:rPr>
        <w:t xml:space="preserve">that are close to the logic of social assistance and typically pro-poor (Adema </w:t>
      </w:r>
      <w:r w:rsidR="00B3750C" w:rsidRPr="004D1F6A">
        <w:rPr>
          <w:rFonts w:ascii="Times New Roman" w:hAnsi="Times New Roman" w:cs="Times New Roman"/>
          <w:shd w:val="clear" w:color="auto" w:fill="FFFFFF"/>
          <w:lang w:val="en-CA"/>
        </w:rPr>
        <w:t>et al.</w:t>
      </w:r>
      <w:r w:rsidR="00C92166">
        <w:rPr>
          <w:rFonts w:ascii="Times New Roman" w:hAnsi="Times New Roman" w:cs="Times New Roman"/>
          <w:shd w:val="clear" w:color="auto" w:fill="FFFFFF"/>
          <w:lang w:val="en-CA"/>
        </w:rPr>
        <w:t>,</w:t>
      </w:r>
      <w:r w:rsidR="00B3750C" w:rsidRPr="00C92166">
        <w:rPr>
          <w:rFonts w:ascii="Times New Roman" w:hAnsi="Times New Roman" w:cs="Times New Roman"/>
          <w:shd w:val="clear" w:color="auto" w:fill="FFFFFF"/>
          <w:lang w:val="en-CA"/>
        </w:rPr>
        <w:t xml:space="preserve"> </w:t>
      </w:r>
      <w:r w:rsidR="00B3750C" w:rsidRPr="007B7233">
        <w:rPr>
          <w:rFonts w:ascii="Times New Roman" w:hAnsi="Times New Roman" w:cs="Times New Roman"/>
          <w:shd w:val="clear" w:color="auto" w:fill="FFFFFF"/>
          <w:lang w:val="en-CA"/>
        </w:rPr>
        <w:t>2011: 19).</w:t>
      </w:r>
      <w:r w:rsidR="00945ECB">
        <w:rPr>
          <w:rFonts w:ascii="Times New Roman" w:hAnsi="Times New Roman" w:cs="Times New Roman"/>
          <w:shd w:val="clear" w:color="auto" w:fill="FFFFFF"/>
          <w:lang w:val="en-CA"/>
        </w:rPr>
        <w:t xml:space="preserve"> </w:t>
      </w:r>
    </w:p>
    <w:p w14:paraId="083E41DD" w14:textId="56A9AEE5" w:rsidR="00B3750C" w:rsidRPr="007B7233" w:rsidRDefault="00645EF0" w:rsidP="00C92166">
      <w:pPr>
        <w:spacing w:line="480" w:lineRule="auto"/>
        <w:ind w:firstLine="708"/>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M</w:t>
      </w:r>
      <w:r w:rsidR="00B3750C" w:rsidRPr="007B7233">
        <w:rPr>
          <w:rFonts w:ascii="Times New Roman" w:hAnsi="Times New Roman" w:cs="Times New Roman"/>
          <w:shd w:val="clear" w:color="auto" w:fill="FFFFFF"/>
          <w:lang w:val="en-CA"/>
        </w:rPr>
        <w:t xml:space="preserve">any cash benefits can be pro-poor without an income test, however, if they </w:t>
      </w:r>
      <w:r w:rsidR="00FD0550">
        <w:rPr>
          <w:rFonts w:ascii="Times New Roman" w:hAnsi="Times New Roman" w:cs="Times New Roman"/>
          <w:shd w:val="clear" w:color="auto" w:fill="FFFFFF"/>
          <w:lang w:val="en-CA"/>
        </w:rPr>
        <w:t xml:space="preserve">concern primarily </w:t>
      </w:r>
      <w:r w:rsidR="00B3750C" w:rsidRPr="007B7233">
        <w:rPr>
          <w:rFonts w:ascii="Times New Roman" w:hAnsi="Times New Roman" w:cs="Times New Roman"/>
          <w:shd w:val="clear" w:color="auto" w:fill="FFFFFF"/>
          <w:lang w:val="en-CA"/>
        </w:rPr>
        <w:t xml:space="preserve">categories of the population </w:t>
      </w:r>
      <w:r w:rsidR="00FD0550">
        <w:rPr>
          <w:rFonts w:ascii="Times New Roman" w:hAnsi="Times New Roman" w:cs="Times New Roman"/>
          <w:shd w:val="clear" w:color="auto" w:fill="FFFFFF"/>
          <w:lang w:val="en-CA"/>
        </w:rPr>
        <w:t>with</w:t>
      </w:r>
      <w:r w:rsidR="00B3750C" w:rsidRPr="007B7233">
        <w:rPr>
          <w:rFonts w:ascii="Times New Roman" w:hAnsi="Times New Roman" w:cs="Times New Roman"/>
          <w:shd w:val="clear" w:color="auto" w:fill="FFFFFF"/>
          <w:lang w:val="en-CA"/>
        </w:rPr>
        <w:t xml:space="preserve"> low incomes. Take, for instance, incapacity benefits, the most important cash transfer after pensions. These </w:t>
      </w:r>
      <w:r w:rsidR="004030BC">
        <w:rPr>
          <w:rFonts w:ascii="Times New Roman" w:hAnsi="Times New Roman" w:cs="Times New Roman"/>
          <w:shd w:val="clear" w:color="auto" w:fill="FFFFFF"/>
          <w:lang w:val="en-CA"/>
        </w:rPr>
        <w:t>programs</w:t>
      </w:r>
      <w:r w:rsidR="00B3750C" w:rsidRPr="007B7233">
        <w:rPr>
          <w:rFonts w:ascii="Times New Roman" w:hAnsi="Times New Roman" w:cs="Times New Roman"/>
          <w:shd w:val="clear" w:color="auto" w:fill="FFFFFF"/>
          <w:lang w:val="en-CA"/>
        </w:rPr>
        <w:t xml:space="preserve"> constitute a large but overlooked component of the welfare state, counting for nearly 2% of GDP in OECD countries and for up to 3% in the Nordic countries and the Netherlands. </w:t>
      </w:r>
      <w:r w:rsidR="00B3750C" w:rsidRPr="007B7233">
        <w:rPr>
          <w:rFonts w:ascii="Times New Roman" w:hAnsi="Times New Roman" w:cs="Times New Roman"/>
          <w:shd w:val="clear" w:color="auto" w:fill="FFFFFF"/>
          <w:lang w:val="en-CA"/>
        </w:rPr>
        <w:lastRenderedPageBreak/>
        <w:t>Before the 2008 financial crisis, an average of 6% of the</w:t>
      </w:r>
      <w:r w:rsidR="00E34850">
        <w:rPr>
          <w:rFonts w:ascii="Times New Roman" w:hAnsi="Times New Roman" w:cs="Times New Roman"/>
          <w:shd w:val="clear" w:color="auto" w:fill="FFFFFF"/>
          <w:lang w:val="en-CA"/>
        </w:rPr>
        <w:t xml:space="preserve"> OECD</w:t>
      </w:r>
      <w:r w:rsidR="00B3750C" w:rsidRPr="007B7233">
        <w:rPr>
          <w:rFonts w:ascii="Times New Roman" w:hAnsi="Times New Roman" w:cs="Times New Roman"/>
          <w:shd w:val="clear" w:color="auto" w:fill="FFFFFF"/>
          <w:lang w:val="en-CA"/>
        </w:rPr>
        <w:t xml:space="preserve"> working age population</w:t>
      </w:r>
      <w:r w:rsidR="00A745CA">
        <w:rPr>
          <w:rFonts w:ascii="Times New Roman" w:hAnsi="Times New Roman" w:cs="Times New Roman"/>
          <w:shd w:val="clear" w:color="auto" w:fill="FFFFFF"/>
          <w:lang w:val="en-CA"/>
        </w:rPr>
        <w:t xml:space="preserve"> </w:t>
      </w:r>
      <w:r w:rsidR="00B3750C" w:rsidRPr="007B7233">
        <w:rPr>
          <w:rFonts w:ascii="Times New Roman" w:hAnsi="Times New Roman" w:cs="Times New Roman"/>
          <w:shd w:val="clear" w:color="auto" w:fill="FFFFFF"/>
          <w:lang w:val="en-CA"/>
        </w:rPr>
        <w:t>was receiving s</w:t>
      </w:r>
      <w:r w:rsidR="008760F0">
        <w:rPr>
          <w:rFonts w:ascii="Times New Roman" w:hAnsi="Times New Roman" w:cs="Times New Roman"/>
          <w:shd w:val="clear" w:color="auto" w:fill="FFFFFF"/>
          <w:lang w:val="en-CA"/>
        </w:rPr>
        <w:t>ome</w:t>
      </w:r>
      <w:r w:rsidR="00B3750C" w:rsidRPr="007B7233">
        <w:rPr>
          <w:rFonts w:ascii="Times New Roman" w:hAnsi="Times New Roman" w:cs="Times New Roman"/>
          <w:shd w:val="clear" w:color="auto" w:fill="FFFFFF"/>
          <w:lang w:val="en-CA"/>
        </w:rPr>
        <w:t xml:space="preserve"> disability benefits. Because </w:t>
      </w:r>
      <w:r w:rsidR="008760F0">
        <w:rPr>
          <w:rFonts w:ascii="Times New Roman" w:hAnsi="Times New Roman" w:cs="Times New Roman"/>
          <w:shd w:val="clear" w:color="auto" w:fill="FFFFFF"/>
          <w:lang w:val="en-CA"/>
        </w:rPr>
        <w:t>those</w:t>
      </w:r>
      <w:r w:rsidR="00B3750C" w:rsidRPr="007B7233">
        <w:rPr>
          <w:rFonts w:ascii="Times New Roman" w:hAnsi="Times New Roman" w:cs="Times New Roman"/>
          <w:shd w:val="clear" w:color="auto" w:fill="FFFFFF"/>
          <w:lang w:val="en-CA"/>
        </w:rPr>
        <w:t xml:space="preserve"> concerned ha</w:t>
      </w:r>
      <w:r w:rsidR="00DD523B">
        <w:rPr>
          <w:rFonts w:ascii="Times New Roman" w:hAnsi="Times New Roman" w:cs="Times New Roman"/>
          <w:shd w:val="clear" w:color="auto" w:fill="FFFFFF"/>
          <w:lang w:val="en-CA"/>
        </w:rPr>
        <w:t>ve</w:t>
      </w:r>
      <w:r w:rsidR="00B3750C" w:rsidRPr="007B7233">
        <w:rPr>
          <w:rFonts w:ascii="Times New Roman" w:hAnsi="Times New Roman" w:cs="Times New Roman"/>
          <w:shd w:val="clear" w:color="auto" w:fill="FFFFFF"/>
          <w:lang w:val="en-CA"/>
        </w:rPr>
        <w:t xml:space="preserve"> lower incomes than average, generous disability transfers for all ha</w:t>
      </w:r>
      <w:r w:rsidR="00DD523B">
        <w:rPr>
          <w:rFonts w:ascii="Times New Roman" w:hAnsi="Times New Roman" w:cs="Times New Roman"/>
          <w:shd w:val="clear" w:color="auto" w:fill="FFFFFF"/>
          <w:lang w:val="en-CA"/>
        </w:rPr>
        <w:t>ve</w:t>
      </w:r>
      <w:r w:rsidR="00B3750C" w:rsidRPr="007B7233">
        <w:rPr>
          <w:rFonts w:ascii="Times New Roman" w:hAnsi="Times New Roman" w:cs="Times New Roman"/>
          <w:shd w:val="clear" w:color="auto" w:fill="FFFFFF"/>
          <w:lang w:val="en-CA"/>
        </w:rPr>
        <w:t xml:space="preserve"> a pro-poor effect</w:t>
      </w:r>
      <w:r w:rsidR="0060315D">
        <w:rPr>
          <w:rFonts w:ascii="Times New Roman" w:hAnsi="Times New Roman" w:cs="Times New Roman"/>
          <w:shd w:val="clear" w:color="auto" w:fill="FFFFFF"/>
          <w:lang w:val="en-CA"/>
        </w:rPr>
        <w:t xml:space="preserve"> </w:t>
      </w:r>
      <w:r w:rsidR="0060315D" w:rsidRPr="007B7233">
        <w:rPr>
          <w:rFonts w:ascii="Times New Roman" w:hAnsi="Times New Roman" w:cs="Times New Roman"/>
          <w:shd w:val="clear" w:color="auto" w:fill="FFFFFF"/>
          <w:lang w:val="en-CA"/>
        </w:rPr>
        <w:t xml:space="preserve">(Joumard </w:t>
      </w:r>
      <w:r w:rsidR="0060315D" w:rsidRPr="004D1F6A">
        <w:rPr>
          <w:rFonts w:ascii="Times New Roman" w:hAnsi="Times New Roman" w:cs="Times New Roman"/>
          <w:shd w:val="clear" w:color="auto" w:fill="FFFFFF"/>
          <w:lang w:val="en-CA"/>
        </w:rPr>
        <w:t>et al.</w:t>
      </w:r>
      <w:r w:rsidR="00C92166">
        <w:rPr>
          <w:rFonts w:ascii="Times New Roman" w:hAnsi="Times New Roman" w:cs="Times New Roman"/>
          <w:shd w:val="clear" w:color="auto" w:fill="FFFFFF"/>
          <w:lang w:val="en-CA"/>
        </w:rPr>
        <w:t>,</w:t>
      </w:r>
      <w:r w:rsidR="0060315D" w:rsidRPr="007B7233">
        <w:rPr>
          <w:rFonts w:ascii="Times New Roman" w:hAnsi="Times New Roman" w:cs="Times New Roman"/>
          <w:shd w:val="clear" w:color="auto" w:fill="FFFFFF"/>
          <w:lang w:val="en-CA"/>
        </w:rPr>
        <w:t xml:space="preserve"> 2012)</w:t>
      </w:r>
      <w:r w:rsidR="00B3750C" w:rsidRPr="007B7233">
        <w:rPr>
          <w:rFonts w:ascii="Times New Roman" w:hAnsi="Times New Roman" w:cs="Times New Roman"/>
          <w:shd w:val="clear" w:color="auto" w:fill="FFFFFF"/>
          <w:lang w:val="en-CA"/>
        </w:rPr>
        <w:t xml:space="preserve">. </w:t>
      </w:r>
    </w:p>
    <w:p w14:paraId="57715F06" w14:textId="46A76141" w:rsidR="00B3750C" w:rsidRPr="007B7233" w:rsidRDefault="00B3750C" w:rsidP="00B3750C">
      <w:pPr>
        <w:spacing w:line="480" w:lineRule="auto"/>
        <w:ind w:firstLine="708"/>
        <w:jc w:val="both"/>
        <w:rPr>
          <w:rFonts w:ascii="Times New Roman" w:hAnsi="Times New Roman" w:cs="Times New Roman"/>
          <w:shd w:val="clear" w:color="auto" w:fill="FFFFFF"/>
          <w:lang w:val="en-CA"/>
        </w:rPr>
      </w:pPr>
      <w:r w:rsidRPr="007B7233">
        <w:rPr>
          <w:rFonts w:ascii="Times New Roman" w:hAnsi="Times New Roman" w:cs="Times New Roman"/>
          <w:shd w:val="clear" w:color="auto" w:fill="FFFFFF"/>
          <w:lang w:val="en-CA"/>
        </w:rPr>
        <w:t>This redistributive logic has a stronger impact in universal welfare states</w:t>
      </w:r>
      <w:r w:rsidR="004030BC">
        <w:rPr>
          <w:rFonts w:ascii="Times New Roman" w:hAnsi="Times New Roman" w:cs="Times New Roman"/>
          <w:shd w:val="clear" w:color="auto" w:fill="FFFFFF"/>
          <w:lang w:val="en-CA"/>
        </w:rPr>
        <w:t>, where</w:t>
      </w:r>
      <w:r w:rsidRPr="007B7233">
        <w:rPr>
          <w:rFonts w:ascii="Times New Roman" w:hAnsi="Times New Roman" w:cs="Times New Roman"/>
          <w:shd w:val="clear" w:color="auto" w:fill="FFFFFF"/>
          <w:lang w:val="en-CA"/>
        </w:rPr>
        <w:t xml:space="preserve"> </w:t>
      </w:r>
      <w:r w:rsidR="00D075ED">
        <w:rPr>
          <w:rFonts w:ascii="Times New Roman" w:hAnsi="Times New Roman" w:cs="Times New Roman"/>
          <w:shd w:val="clear" w:color="auto" w:fill="FFFFFF"/>
          <w:lang w:val="en-CA"/>
        </w:rPr>
        <w:t xml:space="preserve">disability </w:t>
      </w:r>
      <w:r w:rsidRPr="007B7233">
        <w:rPr>
          <w:rFonts w:ascii="Times New Roman" w:hAnsi="Times New Roman" w:cs="Times New Roman"/>
          <w:shd w:val="clear" w:color="auto" w:fill="FFFFFF"/>
          <w:lang w:val="en-CA"/>
        </w:rPr>
        <w:t>benefits are encompassing and generous. By contrast, in residual welfare states, for lack of solid dedicated program</w:t>
      </w:r>
      <w:r w:rsidR="00DD523B">
        <w:rPr>
          <w:rFonts w:ascii="Times New Roman" w:hAnsi="Times New Roman" w:cs="Times New Roman"/>
          <w:shd w:val="clear" w:color="auto" w:fill="FFFFFF"/>
          <w:lang w:val="en-CA"/>
        </w:rPr>
        <w:t>s</w:t>
      </w:r>
      <w:r w:rsidRPr="007B7233">
        <w:rPr>
          <w:rFonts w:ascii="Times New Roman" w:hAnsi="Times New Roman" w:cs="Times New Roman"/>
          <w:shd w:val="clear" w:color="auto" w:fill="FFFFFF"/>
          <w:lang w:val="en-CA"/>
        </w:rPr>
        <w:t xml:space="preserve">, people with a disability often end up without any </w:t>
      </w:r>
      <w:r w:rsidR="000143E9">
        <w:rPr>
          <w:rFonts w:ascii="Times New Roman" w:hAnsi="Times New Roman" w:cs="Times New Roman"/>
          <w:shd w:val="clear" w:color="auto" w:fill="FFFFFF"/>
          <w:lang w:val="en-CA"/>
        </w:rPr>
        <w:t>protection</w:t>
      </w:r>
      <w:r w:rsidRPr="007B7233">
        <w:rPr>
          <w:rFonts w:ascii="Times New Roman" w:hAnsi="Times New Roman" w:cs="Times New Roman"/>
          <w:shd w:val="clear" w:color="auto" w:fill="FFFFFF"/>
          <w:lang w:val="en-CA"/>
        </w:rPr>
        <w:t xml:space="preserve"> or on social assistance, which is certainly pro-poor but much less inclusive and generous (OECD, 2010: 18-22). In the mid-2000s, the countries with the most pro-poor concentration coefficients for disability benefits were Australia and New Zealand (- 0.35), but Belgium (- 0.27) and Denmark (- 0.18) were not far behind (OECD, 2008: 106). Denmark and New Zealand, however, spent more for disability benefits, and were thus more likely to reduce poverty (3.2% of GDP in Denmark and 2.8% in New Zealand, compared to 1.9% in Australia and 1.8% in Belgium).</w:t>
      </w:r>
    </w:p>
    <w:p w14:paraId="39649DF1" w14:textId="0B162108" w:rsidR="00B3750C" w:rsidRDefault="00B3750C" w:rsidP="004E634C">
      <w:pPr>
        <w:spacing w:line="480" w:lineRule="auto"/>
        <w:jc w:val="both"/>
        <w:rPr>
          <w:rFonts w:ascii="Times New Roman" w:hAnsi="Times New Roman" w:cs="Times New Roman"/>
          <w:shd w:val="clear" w:color="auto" w:fill="FFFFFF"/>
          <w:lang w:val="en-CA"/>
        </w:rPr>
      </w:pPr>
      <w:r w:rsidRPr="007B7233">
        <w:rPr>
          <w:rFonts w:ascii="Times New Roman" w:hAnsi="Times New Roman" w:cs="Times New Roman"/>
          <w:shd w:val="clear" w:color="auto" w:fill="FFFFFF"/>
          <w:lang w:val="en-CA"/>
        </w:rPr>
        <w:tab/>
        <w:t>Similar conclusions can be drawn for family and unemployment benefits. Because they are largely uniform and advantage households with more children, family benefits tend to have a pro-poor orientation even when they do not rely on an income test</w:t>
      </w:r>
      <w:r w:rsidR="000624C8">
        <w:rPr>
          <w:rFonts w:ascii="Times New Roman" w:hAnsi="Times New Roman" w:cs="Times New Roman"/>
          <w:shd w:val="clear" w:color="auto" w:fill="FFFFFF"/>
          <w:lang w:val="en-CA"/>
        </w:rPr>
        <w:t>, a</w:t>
      </w:r>
      <w:r w:rsidR="00C327BA">
        <w:rPr>
          <w:rFonts w:ascii="Times New Roman" w:hAnsi="Times New Roman" w:cs="Times New Roman"/>
          <w:shd w:val="clear" w:color="auto" w:fill="FFFFFF"/>
          <w:lang w:val="en-CA"/>
        </w:rPr>
        <w:t>nd</w:t>
      </w:r>
      <w:r w:rsidR="000624C8">
        <w:rPr>
          <w:rFonts w:ascii="Times New Roman" w:hAnsi="Times New Roman" w:cs="Times New Roman"/>
          <w:shd w:val="clear" w:color="auto" w:fill="FFFFFF"/>
          <w:lang w:val="en-CA"/>
        </w:rPr>
        <w:t xml:space="preserve"> their pro-poor orientation is reinforced</w:t>
      </w:r>
      <w:r w:rsidRPr="007B7233">
        <w:rPr>
          <w:rFonts w:ascii="Times New Roman" w:hAnsi="Times New Roman" w:cs="Times New Roman"/>
          <w:shd w:val="clear" w:color="auto" w:fill="FFFFFF"/>
          <w:lang w:val="en-CA"/>
        </w:rPr>
        <w:t xml:space="preserve"> </w:t>
      </w:r>
      <w:r w:rsidR="000624C8">
        <w:rPr>
          <w:rFonts w:ascii="Times New Roman" w:hAnsi="Times New Roman" w:cs="Times New Roman"/>
          <w:shd w:val="clear" w:color="auto" w:fill="FFFFFF"/>
          <w:lang w:val="en-CA"/>
        </w:rPr>
        <w:t xml:space="preserve">when children are poorer than average </w:t>
      </w:r>
      <w:r w:rsidRPr="007B7233">
        <w:rPr>
          <w:rFonts w:ascii="Times New Roman" w:hAnsi="Times New Roman" w:cs="Times New Roman"/>
          <w:shd w:val="clear" w:color="auto" w:fill="FFFFFF"/>
          <w:lang w:val="en-CA"/>
        </w:rPr>
        <w:t xml:space="preserve">(OECD, 2008: 106; Joumard </w:t>
      </w:r>
      <w:r w:rsidRPr="004D1F6A">
        <w:rPr>
          <w:rFonts w:ascii="Times New Roman" w:hAnsi="Times New Roman" w:cs="Times New Roman"/>
          <w:shd w:val="clear" w:color="auto" w:fill="FFFFFF"/>
          <w:lang w:val="en-CA"/>
        </w:rPr>
        <w:t>et al.</w:t>
      </w:r>
      <w:r w:rsidR="008F32F8">
        <w:rPr>
          <w:rFonts w:ascii="Times New Roman" w:hAnsi="Times New Roman" w:cs="Times New Roman"/>
          <w:shd w:val="clear" w:color="auto" w:fill="FFFFFF"/>
          <w:lang w:val="en-CA"/>
        </w:rPr>
        <w:t>,</w:t>
      </w:r>
      <w:r w:rsidRPr="007B7233">
        <w:rPr>
          <w:rFonts w:ascii="Times New Roman" w:hAnsi="Times New Roman" w:cs="Times New Roman"/>
          <w:shd w:val="clear" w:color="auto" w:fill="FFFFFF"/>
          <w:lang w:val="en-CA"/>
        </w:rPr>
        <w:t xml:space="preserve"> 2012: 47-8). For unemployment benefits, the redistributive impact seems even more obvious: those who qualify being unemployed</w:t>
      </w:r>
      <w:r w:rsidR="00DD523B">
        <w:rPr>
          <w:rFonts w:ascii="Times New Roman" w:hAnsi="Times New Roman" w:cs="Times New Roman"/>
          <w:shd w:val="clear" w:color="auto" w:fill="FFFFFF"/>
          <w:lang w:val="en-CA"/>
        </w:rPr>
        <w:t>, they</w:t>
      </w:r>
      <w:r w:rsidR="00905C2A">
        <w:rPr>
          <w:rFonts w:ascii="Times New Roman" w:hAnsi="Times New Roman" w:cs="Times New Roman"/>
          <w:shd w:val="clear" w:color="auto" w:fill="FFFFFF"/>
          <w:lang w:val="en-CA"/>
        </w:rPr>
        <w:t xml:space="preserve"> </w:t>
      </w:r>
      <w:r w:rsidRPr="007B7233">
        <w:rPr>
          <w:rFonts w:ascii="Times New Roman" w:hAnsi="Times New Roman" w:cs="Times New Roman"/>
          <w:shd w:val="clear" w:color="auto" w:fill="FFFFFF"/>
          <w:lang w:val="en-CA"/>
        </w:rPr>
        <w:t>inevitably have low market incomes. Overall, the concentration coefficient of unemployment benefits is negative (OECD</w:t>
      </w:r>
      <w:r w:rsidR="00916819">
        <w:rPr>
          <w:rFonts w:ascii="Times New Roman" w:hAnsi="Times New Roman" w:cs="Times New Roman"/>
          <w:shd w:val="clear" w:color="auto" w:fill="FFFFFF"/>
          <w:lang w:val="en-CA"/>
        </w:rPr>
        <w:t>,</w:t>
      </w:r>
      <w:r w:rsidRPr="007B7233">
        <w:rPr>
          <w:rFonts w:ascii="Times New Roman" w:hAnsi="Times New Roman" w:cs="Times New Roman"/>
          <w:shd w:val="clear" w:color="auto" w:fill="FFFFFF"/>
          <w:lang w:val="en-CA"/>
        </w:rPr>
        <w:t xml:space="preserve"> 2008: 106).</w:t>
      </w:r>
      <w:r w:rsidR="004E634C">
        <w:rPr>
          <w:rFonts w:ascii="Times New Roman" w:hAnsi="Times New Roman" w:cs="Times New Roman"/>
          <w:shd w:val="clear" w:color="auto" w:fill="FFFFFF"/>
          <w:lang w:val="en-CA"/>
        </w:rPr>
        <w:t xml:space="preserve"> </w:t>
      </w:r>
      <w:r w:rsidRPr="007B7233">
        <w:rPr>
          <w:rFonts w:ascii="Times New Roman" w:hAnsi="Times New Roman" w:cs="Times New Roman"/>
          <w:shd w:val="clear" w:color="auto" w:fill="FFFFFF"/>
          <w:lang w:val="en-CA"/>
        </w:rPr>
        <w:t>When all cash transfers to working age adults are considered, the net impact tends to be pro-poor (OECD</w:t>
      </w:r>
      <w:r w:rsidR="00916819">
        <w:rPr>
          <w:rFonts w:ascii="Times New Roman" w:hAnsi="Times New Roman" w:cs="Times New Roman"/>
          <w:shd w:val="clear" w:color="auto" w:fill="FFFFFF"/>
          <w:lang w:val="en-CA"/>
        </w:rPr>
        <w:t>,</w:t>
      </w:r>
      <w:r w:rsidRPr="007B7233">
        <w:rPr>
          <w:rFonts w:ascii="Times New Roman" w:hAnsi="Times New Roman" w:cs="Times New Roman"/>
          <w:shd w:val="clear" w:color="auto" w:fill="FFFFFF"/>
          <w:lang w:val="en-CA"/>
        </w:rPr>
        <w:t xml:space="preserve"> 2008: 105). With or without income testing, </w:t>
      </w:r>
      <w:r w:rsidRPr="007B7233">
        <w:rPr>
          <w:rFonts w:ascii="Times New Roman" w:hAnsi="Times New Roman" w:cs="Times New Roman"/>
          <w:shd w:val="clear" w:color="auto" w:fill="FFFFFF"/>
          <w:lang w:val="en-CA"/>
        </w:rPr>
        <w:lastRenderedPageBreak/>
        <w:t>these transfers give comparatively more to the poor because they primarily benefit categories of persons with lower incomes.</w:t>
      </w:r>
    </w:p>
    <w:p w14:paraId="729E5ADC" w14:textId="34177C35" w:rsidR="001C601F" w:rsidRDefault="00F14E09" w:rsidP="008E5ABE">
      <w:pPr>
        <w:spacing w:line="480" w:lineRule="auto"/>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ab/>
      </w:r>
      <w:r w:rsidR="000143E9">
        <w:rPr>
          <w:rFonts w:ascii="Times New Roman" w:hAnsi="Times New Roman" w:cs="Times New Roman"/>
          <w:shd w:val="clear" w:color="auto" w:fill="FFFFFF"/>
          <w:lang w:val="en-CA"/>
        </w:rPr>
        <w:t>The correlation between</w:t>
      </w:r>
      <w:r w:rsidR="000143E9" w:rsidRPr="000143E9">
        <w:rPr>
          <w:rFonts w:ascii="Times New Roman" w:hAnsi="Times New Roman" w:cs="Times New Roman"/>
          <w:shd w:val="clear" w:color="auto" w:fill="FFFFFF"/>
          <w:lang w:val="en-CA"/>
        </w:rPr>
        <w:t xml:space="preserve"> </w:t>
      </w:r>
      <w:r w:rsidR="000143E9">
        <w:rPr>
          <w:rFonts w:ascii="Times New Roman" w:hAnsi="Times New Roman" w:cs="Times New Roman"/>
          <w:shd w:val="clear" w:color="auto" w:fill="FFFFFF"/>
          <w:lang w:val="en-CA"/>
        </w:rPr>
        <w:t xml:space="preserve">expenditures aimed at working age adults and the concentration coefficient of transfers for all is negative, which means that </w:t>
      </w:r>
      <w:r w:rsidR="001A3642">
        <w:rPr>
          <w:rFonts w:ascii="Times New Roman" w:hAnsi="Times New Roman" w:cs="Times New Roman"/>
          <w:shd w:val="clear" w:color="auto" w:fill="FFFFFF"/>
          <w:lang w:val="en-CA"/>
        </w:rPr>
        <w:t>the more a country spends for these adults, the more pro-poor are its transfers (R = -</w:t>
      </w:r>
      <w:r w:rsidR="001A3642" w:rsidRPr="00715DF3">
        <w:rPr>
          <w:rFonts w:ascii="Times New Roman" w:hAnsi="Times New Roman" w:cs="Times New Roman"/>
          <w:shd w:val="clear" w:color="auto" w:fill="FFFFFF"/>
          <w:lang w:val="en-CA"/>
        </w:rPr>
        <w:t>0.35).</w:t>
      </w:r>
      <w:r w:rsidR="000143E9" w:rsidRPr="00715DF3">
        <w:rPr>
          <w:rFonts w:ascii="Times New Roman" w:hAnsi="Times New Roman" w:cs="Times New Roman"/>
          <w:shd w:val="clear" w:color="auto" w:fill="FFFFFF"/>
          <w:lang w:val="en-CA"/>
        </w:rPr>
        <w:t xml:space="preserve"> </w:t>
      </w:r>
      <w:r w:rsidR="001C601F">
        <w:rPr>
          <w:rFonts w:ascii="Times New Roman" w:hAnsi="Times New Roman" w:cs="Times New Roman"/>
          <w:shd w:val="clear" w:color="auto" w:fill="FFFFFF"/>
          <w:lang w:val="en-CA"/>
        </w:rPr>
        <w:t>T</w:t>
      </w:r>
      <w:r w:rsidR="001A3642" w:rsidRPr="00715DF3">
        <w:rPr>
          <w:rFonts w:ascii="Times New Roman" w:hAnsi="Times New Roman" w:cs="Times New Roman"/>
          <w:shd w:val="clear" w:color="auto" w:fill="FFFFFF"/>
          <w:lang w:val="en-CA"/>
        </w:rPr>
        <w:t>his relationship is stronger a</w:t>
      </w:r>
      <w:r w:rsidRPr="00715DF3">
        <w:rPr>
          <w:rFonts w:ascii="Times New Roman" w:hAnsi="Times New Roman" w:cs="Times New Roman"/>
          <w:shd w:val="clear" w:color="auto" w:fill="FFFFFF"/>
          <w:lang w:val="en-CA"/>
        </w:rPr>
        <w:t>mong universal welfare states</w:t>
      </w:r>
      <w:r w:rsidR="001A3642" w:rsidRPr="00715DF3">
        <w:rPr>
          <w:rFonts w:ascii="Times New Roman" w:hAnsi="Times New Roman" w:cs="Times New Roman"/>
          <w:shd w:val="clear" w:color="auto" w:fill="FFFFFF"/>
          <w:lang w:val="en-CA"/>
        </w:rPr>
        <w:t xml:space="preserve"> only</w:t>
      </w:r>
      <w:r w:rsidR="00CB6676">
        <w:rPr>
          <w:rFonts w:ascii="Times New Roman" w:hAnsi="Times New Roman" w:cs="Times New Roman"/>
          <w:shd w:val="clear" w:color="auto" w:fill="FFFFFF"/>
          <w:lang w:val="en-CA"/>
        </w:rPr>
        <w:t xml:space="preserve"> (R = - 0.63)</w:t>
      </w:r>
      <w:r>
        <w:rPr>
          <w:rFonts w:ascii="Times New Roman" w:hAnsi="Times New Roman" w:cs="Times New Roman"/>
          <w:shd w:val="clear" w:color="auto" w:fill="FFFFFF"/>
          <w:lang w:val="en-CA"/>
        </w:rPr>
        <w:t>,</w:t>
      </w:r>
      <w:r w:rsidR="001A3642">
        <w:rPr>
          <w:rFonts w:ascii="Times New Roman" w:hAnsi="Times New Roman" w:cs="Times New Roman"/>
          <w:shd w:val="clear" w:color="auto" w:fill="FFFFFF"/>
          <w:lang w:val="en-CA"/>
        </w:rPr>
        <w:t xml:space="preserve"> where it helps differentiate universalism from targeting within universalism</w:t>
      </w:r>
      <w:r w:rsidR="00586969">
        <w:rPr>
          <w:rFonts w:ascii="Times New Roman" w:hAnsi="Times New Roman" w:cs="Times New Roman"/>
          <w:shd w:val="clear" w:color="auto" w:fill="FFFFFF"/>
          <w:lang w:val="en-CA"/>
        </w:rPr>
        <w:t xml:space="preserve"> (see online appendix </w:t>
      </w:r>
      <w:r w:rsidR="00C327BA">
        <w:rPr>
          <w:rFonts w:ascii="Times New Roman" w:hAnsi="Times New Roman" w:cs="Times New Roman"/>
          <w:shd w:val="clear" w:color="auto" w:fill="FFFFFF"/>
          <w:lang w:val="en-CA"/>
        </w:rPr>
        <w:t>F</w:t>
      </w:r>
      <w:r w:rsidR="00586969">
        <w:rPr>
          <w:rFonts w:ascii="Times New Roman" w:hAnsi="Times New Roman" w:cs="Times New Roman"/>
          <w:shd w:val="clear" w:color="auto" w:fill="FFFFFF"/>
          <w:lang w:val="en-CA"/>
        </w:rPr>
        <w:t>igure A</w:t>
      </w:r>
      <w:r w:rsidR="00522689">
        <w:rPr>
          <w:rFonts w:ascii="Times New Roman" w:hAnsi="Times New Roman" w:cs="Times New Roman"/>
          <w:shd w:val="clear" w:color="auto" w:fill="FFFFFF"/>
          <w:lang w:val="en-CA"/>
        </w:rPr>
        <w:t>7</w:t>
      </w:r>
      <w:r w:rsidR="00586969">
        <w:rPr>
          <w:rFonts w:ascii="Times New Roman" w:hAnsi="Times New Roman" w:cs="Times New Roman"/>
          <w:shd w:val="clear" w:color="auto" w:fill="FFFFFF"/>
          <w:lang w:val="en-CA"/>
        </w:rPr>
        <w:t>)</w:t>
      </w:r>
      <w:r w:rsidR="001A3642">
        <w:rPr>
          <w:rFonts w:ascii="Times New Roman" w:hAnsi="Times New Roman" w:cs="Times New Roman"/>
          <w:shd w:val="clear" w:color="auto" w:fill="FFFFFF"/>
          <w:lang w:val="en-CA"/>
        </w:rPr>
        <w:t>.</w:t>
      </w:r>
      <w:r w:rsidR="001C601F">
        <w:rPr>
          <w:rFonts w:ascii="Times New Roman" w:hAnsi="Times New Roman" w:cs="Times New Roman"/>
          <w:shd w:val="clear" w:color="auto" w:fill="FFFFFF"/>
          <w:lang w:val="en-CA"/>
        </w:rPr>
        <w:t xml:space="preserve"> The Nordic countries and Belgium, in particular, spend a lot on transfers to working age adults, and they have pro-poor outcomes.</w:t>
      </w:r>
      <w:r w:rsidR="000264F0">
        <w:rPr>
          <w:rFonts w:ascii="Times New Roman" w:hAnsi="Times New Roman" w:cs="Times New Roman"/>
          <w:shd w:val="clear" w:color="auto" w:fill="FFFFFF"/>
          <w:lang w:val="en-CA"/>
        </w:rPr>
        <w:t xml:space="preserve"> </w:t>
      </w:r>
      <w:r w:rsidR="00C327BA">
        <w:rPr>
          <w:rFonts w:ascii="Times New Roman" w:hAnsi="Times New Roman" w:cs="Times New Roman"/>
          <w:shd w:val="clear" w:color="auto" w:fill="FFFFFF"/>
          <w:lang w:val="en-CA"/>
        </w:rPr>
        <w:t>Generous</w:t>
      </w:r>
      <w:r w:rsidR="00586969">
        <w:rPr>
          <w:rFonts w:ascii="Times New Roman" w:hAnsi="Times New Roman" w:cs="Times New Roman"/>
          <w:shd w:val="clear" w:color="auto" w:fill="FFFFFF"/>
          <w:lang w:val="en-CA"/>
        </w:rPr>
        <w:t xml:space="preserve"> </w:t>
      </w:r>
      <w:r w:rsidR="00C327BA">
        <w:rPr>
          <w:rFonts w:ascii="Times New Roman" w:hAnsi="Times New Roman" w:cs="Times New Roman"/>
          <w:shd w:val="clear" w:color="auto" w:fill="FFFFFF"/>
          <w:lang w:val="en-CA"/>
        </w:rPr>
        <w:t>expenditures</w:t>
      </w:r>
      <w:r w:rsidR="00586969">
        <w:rPr>
          <w:rFonts w:ascii="Times New Roman" w:hAnsi="Times New Roman" w:cs="Times New Roman"/>
          <w:shd w:val="clear" w:color="auto" w:fill="FFFFFF"/>
          <w:lang w:val="en-CA"/>
        </w:rPr>
        <w:t xml:space="preserve"> on</w:t>
      </w:r>
      <w:r w:rsidR="00C327BA">
        <w:rPr>
          <w:rFonts w:ascii="Times New Roman" w:hAnsi="Times New Roman" w:cs="Times New Roman"/>
          <w:shd w:val="clear" w:color="auto" w:fill="FFFFFF"/>
          <w:lang w:val="en-CA"/>
        </w:rPr>
        <w:t xml:space="preserve"> programs for the</w:t>
      </w:r>
      <w:r w:rsidR="00586969">
        <w:rPr>
          <w:rFonts w:ascii="Times New Roman" w:hAnsi="Times New Roman" w:cs="Times New Roman"/>
          <w:shd w:val="clear" w:color="auto" w:fill="FFFFFF"/>
          <w:lang w:val="en-CA"/>
        </w:rPr>
        <w:t xml:space="preserve"> working</w:t>
      </w:r>
      <w:r w:rsidR="00180E9A">
        <w:rPr>
          <w:rFonts w:ascii="Times New Roman" w:hAnsi="Times New Roman" w:cs="Times New Roman"/>
          <w:shd w:val="clear" w:color="auto" w:fill="FFFFFF"/>
          <w:lang w:val="en-CA"/>
        </w:rPr>
        <w:t xml:space="preserve"> </w:t>
      </w:r>
      <w:r w:rsidR="00586969">
        <w:rPr>
          <w:rFonts w:ascii="Times New Roman" w:hAnsi="Times New Roman" w:cs="Times New Roman"/>
          <w:shd w:val="clear" w:color="auto" w:fill="FFFFFF"/>
          <w:lang w:val="en-CA"/>
        </w:rPr>
        <w:t xml:space="preserve">age population explain how Finland and Sweden maintain an overall pro-poor </w:t>
      </w:r>
      <w:r w:rsidR="00C327BA">
        <w:rPr>
          <w:rFonts w:ascii="Times New Roman" w:hAnsi="Times New Roman" w:cs="Times New Roman"/>
          <w:shd w:val="clear" w:color="auto" w:fill="FFFFFF"/>
          <w:lang w:val="en-CA"/>
        </w:rPr>
        <w:t>orientation</w:t>
      </w:r>
      <w:r w:rsidR="00586969">
        <w:rPr>
          <w:rFonts w:ascii="Times New Roman" w:hAnsi="Times New Roman" w:cs="Times New Roman"/>
          <w:shd w:val="clear" w:color="auto" w:fill="FFFFFF"/>
          <w:lang w:val="en-CA"/>
        </w:rPr>
        <w:t xml:space="preserve"> despite their earnings-related pension system</w:t>
      </w:r>
      <w:r w:rsidR="00C327BA">
        <w:rPr>
          <w:rFonts w:ascii="Times New Roman" w:hAnsi="Times New Roman" w:cs="Times New Roman"/>
          <w:shd w:val="clear" w:color="auto" w:fill="FFFFFF"/>
          <w:lang w:val="en-CA"/>
        </w:rPr>
        <w:t>s</w:t>
      </w:r>
      <w:r w:rsidR="00586969">
        <w:rPr>
          <w:rFonts w:ascii="Times New Roman" w:hAnsi="Times New Roman" w:cs="Times New Roman"/>
          <w:shd w:val="clear" w:color="auto" w:fill="FFFFFF"/>
          <w:lang w:val="en-CA"/>
        </w:rPr>
        <w:t xml:space="preserve">. </w:t>
      </w:r>
      <w:r w:rsidR="000264F0">
        <w:rPr>
          <w:rFonts w:ascii="Times New Roman" w:hAnsi="Times New Roman" w:cs="Times New Roman"/>
          <w:shd w:val="clear" w:color="auto" w:fill="FFFFFF"/>
          <w:lang w:val="en-CA"/>
        </w:rPr>
        <w:t>Th</w:t>
      </w:r>
      <w:r w:rsidR="00180E9A">
        <w:rPr>
          <w:rFonts w:ascii="Times New Roman" w:hAnsi="Times New Roman" w:cs="Times New Roman"/>
          <w:shd w:val="clear" w:color="auto" w:fill="FFFFFF"/>
          <w:lang w:val="en-CA"/>
        </w:rPr>
        <w:t>e</w:t>
      </w:r>
      <w:r w:rsidR="000264F0">
        <w:rPr>
          <w:rFonts w:ascii="Times New Roman" w:hAnsi="Times New Roman" w:cs="Times New Roman"/>
          <w:shd w:val="clear" w:color="auto" w:fill="FFFFFF"/>
          <w:lang w:val="en-CA"/>
        </w:rPr>
        <w:t xml:space="preserve"> relationship</w:t>
      </w:r>
      <w:r w:rsidR="00180E9A">
        <w:rPr>
          <w:rFonts w:ascii="Times New Roman" w:hAnsi="Times New Roman" w:cs="Times New Roman"/>
          <w:shd w:val="clear" w:color="auto" w:fill="FFFFFF"/>
          <w:lang w:val="en-CA"/>
        </w:rPr>
        <w:t xml:space="preserve"> between working age spending and pro-poorness</w:t>
      </w:r>
      <w:r w:rsidR="000264F0">
        <w:rPr>
          <w:rFonts w:ascii="Times New Roman" w:hAnsi="Times New Roman" w:cs="Times New Roman"/>
          <w:shd w:val="clear" w:color="auto" w:fill="FFFFFF"/>
          <w:lang w:val="en-CA"/>
        </w:rPr>
        <w:t xml:space="preserve"> is particularly clear </w:t>
      </w:r>
      <w:r w:rsidR="00180E9A">
        <w:rPr>
          <w:rFonts w:ascii="Times New Roman" w:hAnsi="Times New Roman" w:cs="Times New Roman"/>
          <w:shd w:val="clear" w:color="auto" w:fill="FFFFFF"/>
          <w:lang w:val="en-CA"/>
        </w:rPr>
        <w:t xml:space="preserve">when we leave aside </w:t>
      </w:r>
      <w:r w:rsidR="000264F0">
        <w:rPr>
          <w:rFonts w:ascii="Times New Roman" w:hAnsi="Times New Roman" w:cs="Times New Roman"/>
          <w:shd w:val="clear" w:color="auto" w:fill="FFFFFF"/>
          <w:lang w:val="en-CA"/>
        </w:rPr>
        <w:t>New Zealand</w:t>
      </w:r>
      <w:r w:rsidR="00180E9A">
        <w:rPr>
          <w:rFonts w:ascii="Times New Roman" w:hAnsi="Times New Roman" w:cs="Times New Roman"/>
          <w:shd w:val="clear" w:color="auto" w:fill="FFFFFF"/>
          <w:lang w:val="en-CA"/>
        </w:rPr>
        <w:t xml:space="preserve"> </w:t>
      </w:r>
      <w:r w:rsidR="000264F0">
        <w:rPr>
          <w:rFonts w:ascii="Times New Roman" w:hAnsi="Times New Roman" w:cs="Times New Roman"/>
          <w:shd w:val="clear" w:color="auto" w:fill="FFFFFF"/>
          <w:lang w:val="en-CA"/>
        </w:rPr>
        <w:t>(R</w:t>
      </w:r>
      <w:r w:rsidR="008F32F8">
        <w:rPr>
          <w:rFonts w:ascii="Times New Roman" w:hAnsi="Times New Roman" w:cs="Times New Roman"/>
          <w:shd w:val="clear" w:color="auto" w:fill="FFFFFF"/>
          <w:lang w:val="en-CA"/>
        </w:rPr>
        <w:t xml:space="preserve"> </w:t>
      </w:r>
      <w:r w:rsidR="000264F0">
        <w:rPr>
          <w:rFonts w:ascii="Times New Roman" w:hAnsi="Times New Roman" w:cs="Times New Roman"/>
          <w:shd w:val="clear" w:color="auto" w:fill="FFFFFF"/>
          <w:lang w:val="en-CA"/>
        </w:rPr>
        <w:t>=</w:t>
      </w:r>
      <w:r w:rsidR="008F32F8">
        <w:rPr>
          <w:rFonts w:ascii="Times New Roman" w:hAnsi="Times New Roman" w:cs="Times New Roman"/>
          <w:shd w:val="clear" w:color="auto" w:fill="FFFFFF"/>
          <w:lang w:val="en-CA"/>
        </w:rPr>
        <w:t xml:space="preserve"> </w:t>
      </w:r>
      <w:r w:rsidR="000264F0">
        <w:rPr>
          <w:rFonts w:ascii="Times New Roman" w:hAnsi="Times New Roman" w:cs="Times New Roman"/>
          <w:shd w:val="clear" w:color="auto" w:fill="FFFFFF"/>
          <w:lang w:val="en-CA"/>
        </w:rPr>
        <w:t>-0.79), whose level of spending remains considerably lower than</w:t>
      </w:r>
      <w:r w:rsidR="008F32F8">
        <w:rPr>
          <w:rFonts w:ascii="Times New Roman" w:hAnsi="Times New Roman" w:cs="Times New Roman"/>
          <w:shd w:val="clear" w:color="auto" w:fill="FFFFFF"/>
          <w:lang w:val="en-CA"/>
        </w:rPr>
        <w:t xml:space="preserve"> that of</w:t>
      </w:r>
      <w:r w:rsidR="000264F0">
        <w:rPr>
          <w:rFonts w:ascii="Times New Roman" w:hAnsi="Times New Roman" w:cs="Times New Roman"/>
          <w:shd w:val="clear" w:color="auto" w:fill="FFFFFF"/>
          <w:lang w:val="en-CA"/>
        </w:rPr>
        <w:t xml:space="preserve"> other universalist welfare states.</w:t>
      </w:r>
      <w:r w:rsidR="00E84A89">
        <w:rPr>
          <w:rFonts w:ascii="Times New Roman" w:hAnsi="Times New Roman" w:cs="Times New Roman"/>
          <w:shd w:val="clear" w:color="auto" w:fill="FFFFFF"/>
          <w:lang w:val="en-CA"/>
        </w:rPr>
        <w:t xml:space="preserve"> Still,</w:t>
      </w:r>
      <w:r w:rsidR="000264F0">
        <w:rPr>
          <w:rFonts w:ascii="Times New Roman" w:hAnsi="Times New Roman" w:cs="Times New Roman"/>
          <w:shd w:val="clear" w:color="auto" w:fill="FFFFFF"/>
          <w:lang w:val="en-CA"/>
        </w:rPr>
        <w:t xml:space="preserve"> New Zealand spends proportionately more on</w:t>
      </w:r>
      <w:r w:rsidR="008F32F8">
        <w:rPr>
          <w:rFonts w:ascii="Times New Roman" w:hAnsi="Times New Roman" w:cs="Times New Roman"/>
          <w:shd w:val="clear" w:color="auto" w:fill="FFFFFF"/>
          <w:lang w:val="en-CA"/>
        </w:rPr>
        <w:t xml:space="preserve"> its</w:t>
      </w:r>
      <w:r w:rsidR="000264F0">
        <w:rPr>
          <w:rFonts w:ascii="Times New Roman" w:hAnsi="Times New Roman" w:cs="Times New Roman"/>
          <w:shd w:val="clear" w:color="auto" w:fill="FFFFFF"/>
          <w:lang w:val="en-CA"/>
        </w:rPr>
        <w:t xml:space="preserve"> working age </w:t>
      </w:r>
      <w:r w:rsidR="008F32F8">
        <w:rPr>
          <w:rFonts w:ascii="Times New Roman" w:hAnsi="Times New Roman" w:cs="Times New Roman"/>
          <w:shd w:val="clear" w:color="auto" w:fill="FFFFFF"/>
          <w:lang w:val="en-CA"/>
        </w:rPr>
        <w:t xml:space="preserve">adults </w:t>
      </w:r>
      <w:r w:rsidR="000264F0">
        <w:rPr>
          <w:rFonts w:ascii="Times New Roman" w:hAnsi="Times New Roman" w:cs="Times New Roman"/>
          <w:shd w:val="clear" w:color="auto" w:fill="FFFFFF"/>
          <w:lang w:val="en-CA"/>
        </w:rPr>
        <w:t xml:space="preserve">than on its old age population, which contributes to explain its pro-poor concentration coefficient. </w:t>
      </w:r>
      <w:r w:rsidR="00E84A89">
        <w:rPr>
          <w:rFonts w:ascii="Times New Roman" w:hAnsi="Times New Roman" w:cs="Times New Roman"/>
          <w:shd w:val="clear" w:color="auto" w:fill="FFFFFF"/>
          <w:lang w:val="en-CA"/>
        </w:rPr>
        <w:t>Interestingly, i</w:t>
      </w:r>
      <w:r w:rsidR="008E5ABE" w:rsidRPr="00B12084">
        <w:rPr>
          <w:rFonts w:ascii="Times New Roman" w:hAnsi="Times New Roman" w:cs="Times New Roman"/>
          <w:shd w:val="clear" w:color="auto" w:fill="FFFFFF"/>
          <w:lang w:val="en-CA"/>
        </w:rPr>
        <w:t>n contrast to spending on the elderly</w:t>
      </w:r>
      <w:r w:rsidR="008E5ABE">
        <w:rPr>
          <w:rFonts w:ascii="Times New Roman" w:hAnsi="Times New Roman" w:cs="Times New Roman"/>
          <w:shd w:val="clear" w:color="auto" w:fill="FFFFFF"/>
          <w:lang w:val="en-CA"/>
        </w:rPr>
        <w:t>, demographic trends do not explain the level of working age expenditures</w:t>
      </w:r>
      <w:r w:rsidR="008F32F8">
        <w:rPr>
          <w:rFonts w:ascii="Times New Roman" w:hAnsi="Times New Roman" w:cs="Times New Roman"/>
          <w:shd w:val="clear" w:color="auto" w:fill="FFFFFF"/>
          <w:lang w:val="en-CA"/>
        </w:rPr>
        <w:t xml:space="preserve">. These </w:t>
      </w:r>
      <w:r w:rsidR="00180E9A">
        <w:rPr>
          <w:rFonts w:ascii="Times New Roman" w:hAnsi="Times New Roman" w:cs="Times New Roman"/>
          <w:shd w:val="clear" w:color="auto" w:fill="FFFFFF"/>
          <w:lang w:val="en-CA"/>
        </w:rPr>
        <w:t xml:space="preserve">expenditures </w:t>
      </w:r>
      <w:r w:rsidR="00232C48">
        <w:rPr>
          <w:rFonts w:ascii="Times New Roman" w:hAnsi="Times New Roman" w:cs="Times New Roman"/>
          <w:shd w:val="clear" w:color="auto" w:fill="FFFFFF"/>
          <w:lang w:val="en-CA"/>
        </w:rPr>
        <w:t>derive only from policy intentions</w:t>
      </w:r>
      <w:r w:rsidR="008E5ABE">
        <w:rPr>
          <w:rFonts w:ascii="Times New Roman" w:hAnsi="Times New Roman" w:cs="Times New Roman"/>
          <w:shd w:val="clear" w:color="auto" w:fill="FFFFFF"/>
          <w:lang w:val="en-CA"/>
        </w:rPr>
        <w:t xml:space="preserve">: countries with a larger share of working age population </w:t>
      </w:r>
      <w:r w:rsidR="00E84A89">
        <w:rPr>
          <w:rFonts w:ascii="Times New Roman" w:hAnsi="Times New Roman" w:cs="Times New Roman"/>
          <w:shd w:val="clear" w:color="auto" w:fill="FFFFFF"/>
          <w:lang w:val="en-CA"/>
        </w:rPr>
        <w:t>are not spending more on working age social benefits, to the contrary</w:t>
      </w:r>
      <w:r w:rsidR="00586969">
        <w:rPr>
          <w:rFonts w:ascii="Times New Roman" w:hAnsi="Times New Roman" w:cs="Times New Roman"/>
          <w:shd w:val="clear" w:color="auto" w:fill="FFFFFF"/>
          <w:lang w:val="en-CA"/>
        </w:rPr>
        <w:t xml:space="preserve"> (see online appendix</w:t>
      </w:r>
      <w:r w:rsidR="00180E9A">
        <w:rPr>
          <w:rFonts w:ascii="Times New Roman" w:hAnsi="Times New Roman" w:cs="Times New Roman"/>
          <w:shd w:val="clear" w:color="auto" w:fill="FFFFFF"/>
          <w:lang w:val="en-CA"/>
        </w:rPr>
        <w:t>,</w:t>
      </w:r>
      <w:r w:rsidR="00586969">
        <w:rPr>
          <w:rFonts w:ascii="Times New Roman" w:hAnsi="Times New Roman" w:cs="Times New Roman"/>
          <w:shd w:val="clear" w:color="auto" w:fill="FFFFFF"/>
          <w:lang w:val="en-CA"/>
        </w:rPr>
        <w:t xml:space="preserve"> </w:t>
      </w:r>
      <w:r w:rsidR="00180E9A">
        <w:rPr>
          <w:rFonts w:ascii="Times New Roman" w:hAnsi="Times New Roman" w:cs="Times New Roman"/>
          <w:shd w:val="clear" w:color="auto" w:fill="FFFFFF"/>
          <w:lang w:val="en-CA"/>
        </w:rPr>
        <w:t>F</w:t>
      </w:r>
      <w:r w:rsidR="00586969">
        <w:rPr>
          <w:rFonts w:ascii="Times New Roman" w:hAnsi="Times New Roman" w:cs="Times New Roman"/>
          <w:shd w:val="clear" w:color="auto" w:fill="FFFFFF"/>
          <w:lang w:val="en-CA"/>
        </w:rPr>
        <w:t>igure A</w:t>
      </w:r>
      <w:r w:rsidR="00522689">
        <w:rPr>
          <w:rFonts w:ascii="Times New Roman" w:hAnsi="Times New Roman" w:cs="Times New Roman"/>
          <w:shd w:val="clear" w:color="auto" w:fill="FFFFFF"/>
          <w:lang w:val="en-CA"/>
        </w:rPr>
        <w:t>8</w:t>
      </w:r>
      <w:r w:rsidR="00180E9A">
        <w:rPr>
          <w:rFonts w:ascii="Times New Roman" w:hAnsi="Times New Roman" w:cs="Times New Roman"/>
          <w:shd w:val="clear" w:color="auto" w:fill="FFFFFF"/>
          <w:lang w:val="en-CA"/>
        </w:rPr>
        <w:t>,</w:t>
      </w:r>
      <w:r w:rsidR="00F17E2D">
        <w:rPr>
          <w:rFonts w:ascii="Times New Roman" w:hAnsi="Times New Roman" w:cs="Times New Roman"/>
          <w:shd w:val="clear" w:color="auto" w:fill="FFFFFF"/>
          <w:lang w:val="en-CA"/>
        </w:rPr>
        <w:t xml:space="preserve"> showing no relationship betwee</w:t>
      </w:r>
      <w:r w:rsidR="00782D15">
        <w:rPr>
          <w:rFonts w:ascii="Times New Roman" w:hAnsi="Times New Roman" w:cs="Times New Roman"/>
          <w:shd w:val="clear" w:color="auto" w:fill="FFFFFF"/>
          <w:lang w:val="en-CA"/>
        </w:rPr>
        <w:t>n the size of the</w:t>
      </w:r>
      <w:r w:rsidR="00F17E2D">
        <w:rPr>
          <w:rFonts w:ascii="Times New Roman" w:hAnsi="Times New Roman" w:cs="Times New Roman"/>
          <w:shd w:val="clear" w:color="auto" w:fill="FFFFFF"/>
          <w:lang w:val="en-CA"/>
        </w:rPr>
        <w:t xml:space="preserve"> working age population and </w:t>
      </w:r>
      <w:r w:rsidR="00782D15">
        <w:rPr>
          <w:rFonts w:ascii="Times New Roman" w:hAnsi="Times New Roman" w:cs="Times New Roman"/>
          <w:shd w:val="clear" w:color="auto" w:fill="FFFFFF"/>
          <w:lang w:val="en-CA"/>
        </w:rPr>
        <w:t>working</w:t>
      </w:r>
      <w:r w:rsidR="00F17E2D">
        <w:rPr>
          <w:rFonts w:ascii="Times New Roman" w:hAnsi="Times New Roman" w:cs="Times New Roman"/>
          <w:shd w:val="clear" w:color="auto" w:fill="FFFFFF"/>
          <w:lang w:val="en-CA"/>
        </w:rPr>
        <w:t xml:space="preserve"> age spending</w:t>
      </w:r>
      <w:r w:rsidR="00586969">
        <w:rPr>
          <w:rFonts w:ascii="Times New Roman" w:hAnsi="Times New Roman" w:cs="Times New Roman"/>
          <w:shd w:val="clear" w:color="auto" w:fill="FFFFFF"/>
          <w:lang w:val="en-CA"/>
        </w:rPr>
        <w:t>)</w:t>
      </w:r>
      <w:r w:rsidR="008E5ABE">
        <w:rPr>
          <w:rFonts w:ascii="Times New Roman" w:hAnsi="Times New Roman" w:cs="Times New Roman"/>
          <w:shd w:val="clear" w:color="auto" w:fill="FFFFFF"/>
          <w:lang w:val="en-CA"/>
        </w:rPr>
        <w:t>.</w:t>
      </w:r>
    </w:p>
    <w:p w14:paraId="48B45C1D" w14:textId="18C0E9E5" w:rsidR="008E5ABE" w:rsidRPr="006F6570" w:rsidRDefault="001C601F" w:rsidP="008E5ABE">
      <w:pPr>
        <w:spacing w:line="480" w:lineRule="auto"/>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ab/>
        <w:t xml:space="preserve">How much do old age and working age expenditures contribute to the pro-poor character of transfers in a universal welfare state? A linear regression with standardized </w:t>
      </w:r>
      <w:r>
        <w:rPr>
          <w:rFonts w:ascii="Times New Roman" w:hAnsi="Times New Roman" w:cs="Times New Roman"/>
          <w:shd w:val="clear" w:color="auto" w:fill="FFFFFF"/>
          <w:lang w:val="en-CA"/>
        </w:rPr>
        <w:lastRenderedPageBreak/>
        <w:t>coefficients suggest</w:t>
      </w:r>
      <w:r w:rsidR="00782D15">
        <w:rPr>
          <w:rFonts w:ascii="Times New Roman" w:hAnsi="Times New Roman" w:cs="Times New Roman"/>
          <w:shd w:val="clear" w:color="auto" w:fill="FFFFFF"/>
          <w:lang w:val="en-CA"/>
        </w:rPr>
        <w:t>s</w:t>
      </w:r>
      <w:r>
        <w:rPr>
          <w:rFonts w:ascii="Times New Roman" w:hAnsi="Times New Roman" w:cs="Times New Roman"/>
          <w:shd w:val="clear" w:color="auto" w:fill="FFFFFF"/>
          <w:lang w:val="en-CA"/>
        </w:rPr>
        <w:t xml:space="preserve"> that both factors play a role. A high level of old</w:t>
      </w:r>
      <w:r w:rsidR="00782D15">
        <w:rPr>
          <w:rFonts w:ascii="Times New Roman" w:hAnsi="Times New Roman" w:cs="Times New Roman"/>
          <w:shd w:val="clear" w:color="auto" w:fill="FFFFFF"/>
          <w:lang w:val="en-CA"/>
        </w:rPr>
        <w:t xml:space="preserve"> age</w:t>
      </w:r>
      <w:r>
        <w:rPr>
          <w:rFonts w:ascii="Times New Roman" w:hAnsi="Times New Roman" w:cs="Times New Roman"/>
          <w:shd w:val="clear" w:color="auto" w:fill="FFFFFF"/>
          <w:lang w:val="en-CA"/>
        </w:rPr>
        <w:t xml:space="preserve"> expenditures contributes to a pro-rich bias, whereas generous transfers for working age adults reinforce the pro-poor character of the welfare state, the former </w:t>
      </w:r>
      <w:r w:rsidR="000C57E5">
        <w:rPr>
          <w:rFonts w:ascii="Times New Roman" w:hAnsi="Times New Roman" w:cs="Times New Roman"/>
          <w:shd w:val="clear" w:color="auto" w:fill="FFFFFF"/>
          <w:lang w:val="en-CA"/>
        </w:rPr>
        <w:t>having a stronger impact</w:t>
      </w:r>
      <w:r>
        <w:rPr>
          <w:rFonts w:ascii="Times New Roman" w:hAnsi="Times New Roman" w:cs="Times New Roman"/>
          <w:shd w:val="clear" w:color="auto" w:fill="FFFFFF"/>
          <w:lang w:val="en-CA"/>
        </w:rPr>
        <w:t xml:space="preserve"> than the latter</w:t>
      </w:r>
      <w:r w:rsidR="007716DA">
        <w:rPr>
          <w:rFonts w:ascii="Times New Roman" w:hAnsi="Times New Roman" w:cs="Times New Roman"/>
          <w:shd w:val="clear" w:color="auto" w:fill="FFFFFF"/>
          <w:lang w:val="en-CA"/>
        </w:rPr>
        <w:t>. The</w:t>
      </w:r>
      <w:r w:rsidR="00782D15">
        <w:rPr>
          <w:rFonts w:ascii="Times New Roman" w:hAnsi="Times New Roman" w:cs="Times New Roman"/>
          <w:shd w:val="clear" w:color="auto" w:fill="FFFFFF"/>
          <w:lang w:val="en-CA"/>
        </w:rPr>
        <w:t>se</w:t>
      </w:r>
      <w:r w:rsidR="007716DA">
        <w:rPr>
          <w:rFonts w:ascii="Times New Roman" w:hAnsi="Times New Roman" w:cs="Times New Roman"/>
          <w:shd w:val="clear" w:color="auto" w:fill="FFFFFF"/>
          <w:lang w:val="en-CA"/>
        </w:rPr>
        <w:t xml:space="preserve"> relationship</w:t>
      </w:r>
      <w:r w:rsidR="00782D15">
        <w:rPr>
          <w:rFonts w:ascii="Times New Roman" w:hAnsi="Times New Roman" w:cs="Times New Roman"/>
          <w:shd w:val="clear" w:color="auto" w:fill="FFFFFF"/>
          <w:lang w:val="en-CA"/>
        </w:rPr>
        <w:t>s</w:t>
      </w:r>
      <w:r w:rsidR="007716DA">
        <w:rPr>
          <w:rFonts w:ascii="Times New Roman" w:hAnsi="Times New Roman" w:cs="Times New Roman"/>
          <w:shd w:val="clear" w:color="auto" w:fill="FFFFFF"/>
          <w:lang w:val="en-CA"/>
        </w:rPr>
        <w:t xml:space="preserve"> </w:t>
      </w:r>
      <w:r w:rsidR="00782D15">
        <w:rPr>
          <w:rFonts w:ascii="Times New Roman" w:hAnsi="Times New Roman" w:cs="Times New Roman"/>
          <w:shd w:val="clear" w:color="auto" w:fill="FFFFFF"/>
          <w:lang w:val="en-CA"/>
        </w:rPr>
        <w:t>h</w:t>
      </w:r>
      <w:r w:rsidR="007716DA">
        <w:rPr>
          <w:rFonts w:ascii="Times New Roman" w:hAnsi="Times New Roman" w:cs="Times New Roman"/>
          <w:shd w:val="clear" w:color="auto" w:fill="FFFFFF"/>
          <w:lang w:val="en-CA"/>
        </w:rPr>
        <w:t>old even when controlling for demography</w:t>
      </w:r>
      <w:r>
        <w:rPr>
          <w:rFonts w:ascii="Times New Roman" w:hAnsi="Times New Roman" w:cs="Times New Roman"/>
          <w:shd w:val="clear" w:color="auto" w:fill="FFFFFF"/>
          <w:lang w:val="en-CA"/>
        </w:rPr>
        <w:t xml:space="preserve"> (see results in the online supplementary material, Table </w:t>
      </w:r>
      <w:r w:rsidR="0054216C">
        <w:rPr>
          <w:rFonts w:ascii="Times New Roman" w:hAnsi="Times New Roman" w:cs="Times New Roman"/>
          <w:shd w:val="clear" w:color="auto" w:fill="FFFFFF"/>
          <w:lang w:val="en-CA"/>
        </w:rPr>
        <w:t>A2</w:t>
      </w:r>
      <w:r>
        <w:rPr>
          <w:rFonts w:ascii="Times New Roman" w:hAnsi="Times New Roman" w:cs="Times New Roman"/>
          <w:shd w:val="clear" w:color="auto" w:fill="FFFFFF"/>
          <w:lang w:val="en-CA"/>
        </w:rPr>
        <w:t>).</w:t>
      </w:r>
    </w:p>
    <w:p w14:paraId="22ABA6AB" w14:textId="5BB39E30" w:rsidR="00AC0163" w:rsidRDefault="00CB6676" w:rsidP="00DE3755">
      <w:pPr>
        <w:spacing w:line="480" w:lineRule="auto"/>
        <w:ind w:firstLine="708"/>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 xml:space="preserve">Targeting within universalism is thus best achieved when a welfare state balances </w:t>
      </w:r>
      <w:r w:rsidR="00E34850">
        <w:rPr>
          <w:rFonts w:ascii="Times New Roman" w:hAnsi="Times New Roman" w:cs="Times New Roman"/>
          <w:shd w:val="clear" w:color="auto" w:fill="FFFFFF"/>
          <w:lang w:val="en-CA"/>
        </w:rPr>
        <w:t xml:space="preserve">expenditures </w:t>
      </w:r>
      <w:r>
        <w:rPr>
          <w:rFonts w:ascii="Times New Roman" w:hAnsi="Times New Roman" w:cs="Times New Roman"/>
          <w:shd w:val="clear" w:color="auto" w:fill="FFFFFF"/>
          <w:lang w:val="en-CA"/>
        </w:rPr>
        <w:t xml:space="preserve">between generations, </w:t>
      </w:r>
      <w:r w:rsidR="00E34850">
        <w:rPr>
          <w:rFonts w:ascii="Times New Roman" w:hAnsi="Times New Roman" w:cs="Times New Roman"/>
          <w:shd w:val="clear" w:color="auto" w:fill="FFFFFF"/>
          <w:lang w:val="en-CA"/>
        </w:rPr>
        <w:t xml:space="preserve">contributing </w:t>
      </w:r>
      <w:r>
        <w:rPr>
          <w:rFonts w:ascii="Times New Roman" w:hAnsi="Times New Roman" w:cs="Times New Roman"/>
          <w:shd w:val="clear" w:color="auto" w:fill="FFFFFF"/>
          <w:lang w:val="en-CA"/>
        </w:rPr>
        <w:t>not too much for the elderly, and especially for the well-to-do elderly, and spending generously for working age adults. When this happens</w:t>
      </w:r>
      <w:r w:rsidR="000264F0">
        <w:rPr>
          <w:rFonts w:ascii="Times New Roman" w:hAnsi="Times New Roman" w:cs="Times New Roman"/>
          <w:shd w:val="clear" w:color="auto" w:fill="FFFFFF"/>
          <w:lang w:val="en-CA"/>
        </w:rPr>
        <w:t>,</w:t>
      </w:r>
      <w:r>
        <w:rPr>
          <w:rFonts w:ascii="Times New Roman" w:hAnsi="Times New Roman" w:cs="Times New Roman"/>
          <w:shd w:val="clear" w:color="auto" w:fill="FFFFFF"/>
          <w:lang w:val="en-CA"/>
        </w:rPr>
        <w:t xml:space="preserve"> universalist intentions combine effectively with pro-poor outcomes, to generate</w:t>
      </w:r>
      <w:r w:rsidR="006F7594">
        <w:rPr>
          <w:rFonts w:ascii="Times New Roman" w:hAnsi="Times New Roman" w:cs="Times New Roman"/>
          <w:shd w:val="clear" w:color="auto" w:fill="FFFFFF"/>
          <w:lang w:val="en-CA"/>
        </w:rPr>
        <w:t xml:space="preserve"> targeting within universalism</w:t>
      </w:r>
      <w:r w:rsidR="00E34850">
        <w:rPr>
          <w:rFonts w:ascii="Times New Roman" w:hAnsi="Times New Roman" w:cs="Times New Roman"/>
          <w:shd w:val="clear" w:color="auto" w:fill="FFFFFF"/>
          <w:lang w:val="en-CA"/>
        </w:rPr>
        <w:t>,</w:t>
      </w:r>
      <w:r w:rsidR="006F7594">
        <w:rPr>
          <w:rFonts w:ascii="Times New Roman" w:hAnsi="Times New Roman" w:cs="Times New Roman"/>
          <w:shd w:val="clear" w:color="auto" w:fill="FFFFFF"/>
          <w:lang w:val="en-CA"/>
        </w:rPr>
        <w:t xml:space="preserve"> and</w:t>
      </w:r>
      <w:r>
        <w:rPr>
          <w:rFonts w:ascii="Times New Roman" w:hAnsi="Times New Roman" w:cs="Times New Roman"/>
          <w:shd w:val="clear" w:color="auto" w:fill="FFFFFF"/>
          <w:lang w:val="en-CA"/>
        </w:rPr>
        <w:t xml:space="preserve"> what may be a balanced generational welfare contract (Birnbaum et al., 2017).</w:t>
      </w:r>
    </w:p>
    <w:p w14:paraId="14B9A8A1" w14:textId="77777777" w:rsidR="007911BE" w:rsidRPr="007B7233" w:rsidRDefault="007911BE" w:rsidP="00EA0718">
      <w:pPr>
        <w:spacing w:line="480" w:lineRule="auto"/>
        <w:ind w:firstLine="708"/>
        <w:jc w:val="both"/>
        <w:rPr>
          <w:rFonts w:ascii="Times New Roman" w:hAnsi="Times New Roman" w:cs="Times New Roman"/>
          <w:shd w:val="clear" w:color="auto" w:fill="FFFFFF"/>
          <w:lang w:val="en-CA"/>
        </w:rPr>
      </w:pPr>
    </w:p>
    <w:p w14:paraId="3186D9DE" w14:textId="77777777" w:rsidR="007911BE" w:rsidRPr="007B7233" w:rsidRDefault="007911BE" w:rsidP="007911BE">
      <w:pPr>
        <w:jc w:val="center"/>
        <w:rPr>
          <w:rFonts w:ascii="Times New Roman" w:hAnsi="Times New Roman" w:cs="Times New Roman"/>
          <w:b/>
          <w:lang w:val="en-CA"/>
        </w:rPr>
      </w:pPr>
      <w:r w:rsidRPr="007B7233">
        <w:rPr>
          <w:rFonts w:ascii="Times New Roman" w:hAnsi="Times New Roman" w:cs="Times New Roman"/>
          <w:b/>
          <w:lang w:val="en-CA"/>
        </w:rPr>
        <w:t>3. What is the impact of targeting within universalism on redistribution?</w:t>
      </w:r>
    </w:p>
    <w:p w14:paraId="1D60E807" w14:textId="77777777" w:rsidR="007911BE" w:rsidRPr="007B7233" w:rsidRDefault="007911BE" w:rsidP="007911BE">
      <w:pPr>
        <w:rPr>
          <w:rFonts w:ascii="Times New Roman" w:hAnsi="Times New Roman" w:cs="Times New Roman"/>
          <w:lang w:val="en-CA"/>
        </w:rPr>
      </w:pPr>
    </w:p>
    <w:p w14:paraId="4CE4BCDB" w14:textId="77777777" w:rsidR="008F2AD0" w:rsidRDefault="008F2AD0" w:rsidP="007911BE">
      <w:pPr>
        <w:rPr>
          <w:rFonts w:ascii="Times New Roman" w:hAnsi="Times New Roman" w:cs="Times New Roman"/>
          <w:lang w:val="en-CA"/>
        </w:rPr>
      </w:pPr>
    </w:p>
    <w:p w14:paraId="24ECFC98" w14:textId="38E53B58" w:rsidR="006F7594" w:rsidRDefault="005C634F" w:rsidP="00AF77A8">
      <w:pPr>
        <w:spacing w:line="480" w:lineRule="auto"/>
        <w:ind w:firstLine="708"/>
        <w:jc w:val="both"/>
        <w:rPr>
          <w:rFonts w:ascii="Times New Roman" w:hAnsi="Times New Roman" w:cs="Times New Roman"/>
          <w:lang w:val="en-CA"/>
        </w:rPr>
      </w:pPr>
      <w:r>
        <w:rPr>
          <w:rFonts w:ascii="Times New Roman" w:hAnsi="Times New Roman" w:cs="Times New Roman"/>
          <w:lang w:val="en-CA"/>
        </w:rPr>
        <w:t>Income redistribution and</w:t>
      </w:r>
      <w:r w:rsidR="006F7594">
        <w:rPr>
          <w:rFonts w:ascii="Times New Roman" w:hAnsi="Times New Roman" w:cs="Times New Roman"/>
          <w:lang w:val="en-CA"/>
        </w:rPr>
        <w:t xml:space="preserve"> poverty reduction are a function of the total size of cash </w:t>
      </w:r>
      <w:r w:rsidR="00910ACB">
        <w:rPr>
          <w:rFonts w:ascii="Times New Roman" w:hAnsi="Times New Roman" w:cs="Times New Roman"/>
          <w:lang w:val="en-CA"/>
        </w:rPr>
        <w:t>transfers</w:t>
      </w:r>
      <w:r w:rsidR="006F7594">
        <w:rPr>
          <w:rFonts w:ascii="Times New Roman" w:hAnsi="Times New Roman" w:cs="Times New Roman"/>
          <w:lang w:val="en-CA"/>
        </w:rPr>
        <w:t xml:space="preserve"> and of their degree of targeting in favour of the poor. In theory, </w:t>
      </w:r>
      <w:r w:rsidR="009A1F30">
        <w:rPr>
          <w:rFonts w:ascii="Times New Roman" w:hAnsi="Times New Roman" w:cs="Times New Roman"/>
          <w:lang w:val="en-CA"/>
        </w:rPr>
        <w:t xml:space="preserve">a large social expenditures envelope and a pro-poor concentration of </w:t>
      </w:r>
      <w:r w:rsidR="00910ACB">
        <w:rPr>
          <w:rFonts w:ascii="Times New Roman" w:hAnsi="Times New Roman" w:cs="Times New Roman"/>
          <w:lang w:val="en-CA"/>
        </w:rPr>
        <w:t>benefits</w:t>
      </w:r>
      <w:r w:rsidR="009A1F30">
        <w:rPr>
          <w:rFonts w:ascii="Times New Roman" w:hAnsi="Times New Roman" w:cs="Times New Roman"/>
          <w:lang w:val="en-CA"/>
        </w:rPr>
        <w:t xml:space="preserve"> should bo</w:t>
      </w:r>
      <w:r w:rsidR="00910ACB">
        <w:rPr>
          <w:rFonts w:ascii="Times New Roman" w:hAnsi="Times New Roman" w:cs="Times New Roman"/>
          <w:lang w:val="en-CA"/>
        </w:rPr>
        <w:t>th contribute to redistribution (Ferrarini et al., 2016: 23). The literature on welfare state universalism, however, suggests that the size of the social budget matters more than pro-poor targeting in achieving redistribution. In a universal welfare state, the middle class is willing to fund ambitious social programs</w:t>
      </w:r>
      <w:r w:rsidR="005E218C">
        <w:rPr>
          <w:rFonts w:ascii="Times New Roman" w:hAnsi="Times New Roman" w:cs="Times New Roman"/>
          <w:lang w:val="en-CA"/>
        </w:rPr>
        <w:t xml:space="preserve"> for all</w:t>
      </w:r>
      <w:r w:rsidR="00910ACB">
        <w:rPr>
          <w:rFonts w:ascii="Times New Roman" w:hAnsi="Times New Roman" w:cs="Times New Roman"/>
          <w:lang w:val="en-CA"/>
        </w:rPr>
        <w:t xml:space="preserve"> because it</w:t>
      </w:r>
      <w:r w:rsidR="00002CC1">
        <w:rPr>
          <w:rFonts w:ascii="Times New Roman" w:hAnsi="Times New Roman" w:cs="Times New Roman"/>
          <w:lang w:val="en-CA"/>
        </w:rPr>
        <w:t xml:space="preserve"> also</w:t>
      </w:r>
      <w:r w:rsidR="00910ACB">
        <w:rPr>
          <w:rFonts w:ascii="Times New Roman" w:hAnsi="Times New Roman" w:cs="Times New Roman"/>
          <w:lang w:val="en-CA"/>
        </w:rPr>
        <w:t xml:space="preserve"> benefits from </w:t>
      </w:r>
      <w:r w:rsidR="00CA3350">
        <w:rPr>
          <w:rFonts w:ascii="Times New Roman" w:hAnsi="Times New Roman" w:cs="Times New Roman"/>
          <w:lang w:val="en-CA"/>
        </w:rPr>
        <w:t>them</w:t>
      </w:r>
      <w:r w:rsidR="00910ACB">
        <w:rPr>
          <w:rFonts w:ascii="Times New Roman" w:hAnsi="Times New Roman" w:cs="Times New Roman"/>
          <w:lang w:val="en-CA"/>
        </w:rPr>
        <w:t>. By contrast, in a residual welfare state, programs are targeted toward the poor but prove meagre, because they</w:t>
      </w:r>
      <w:r w:rsidR="00002CC1">
        <w:rPr>
          <w:rFonts w:ascii="Times New Roman" w:hAnsi="Times New Roman" w:cs="Times New Roman"/>
          <w:lang w:val="en-CA"/>
        </w:rPr>
        <w:t xml:space="preserve"> have less</w:t>
      </w:r>
      <w:r w:rsidR="00981D6D">
        <w:rPr>
          <w:rFonts w:ascii="Times New Roman" w:hAnsi="Times New Roman" w:cs="Times New Roman"/>
          <w:lang w:val="en-CA"/>
        </w:rPr>
        <w:t xml:space="preserve"> </w:t>
      </w:r>
      <w:r w:rsidR="00822B1B">
        <w:rPr>
          <w:rFonts w:ascii="Times New Roman" w:hAnsi="Times New Roman" w:cs="Times New Roman"/>
          <w:lang w:val="en-CA"/>
        </w:rPr>
        <w:t>political</w:t>
      </w:r>
      <w:r w:rsidR="00002CC1">
        <w:rPr>
          <w:rFonts w:ascii="Times New Roman" w:hAnsi="Times New Roman" w:cs="Times New Roman"/>
          <w:lang w:val="en-CA"/>
        </w:rPr>
        <w:t xml:space="preserve"> support and</w:t>
      </w:r>
      <w:r w:rsidR="00910ACB">
        <w:rPr>
          <w:rFonts w:ascii="Times New Roman" w:hAnsi="Times New Roman" w:cs="Times New Roman"/>
          <w:lang w:val="en-CA"/>
        </w:rPr>
        <w:t xml:space="preserve"> remain under-funded (Korpi and Palme, 1998).</w:t>
      </w:r>
    </w:p>
    <w:p w14:paraId="08FB6190" w14:textId="2812E383" w:rsidR="005C634F" w:rsidRDefault="005C634F" w:rsidP="00AF77A8">
      <w:pPr>
        <w:spacing w:line="480" w:lineRule="auto"/>
        <w:ind w:firstLine="708"/>
        <w:jc w:val="both"/>
        <w:rPr>
          <w:rFonts w:ascii="Times New Roman" w:hAnsi="Times New Roman" w:cs="Times New Roman"/>
          <w:lang w:val="en-CA"/>
        </w:rPr>
      </w:pPr>
      <w:r>
        <w:rPr>
          <w:rFonts w:ascii="Times New Roman" w:hAnsi="Times New Roman" w:cs="Times New Roman"/>
          <w:lang w:val="en-CA"/>
        </w:rPr>
        <w:lastRenderedPageBreak/>
        <w:t xml:space="preserve">In a recent multilevel analysis of poverty reduction in 40 middle- and high-income countries, Tommy Ferrarini, Kenneth Nelson, and Joakim Palme find that the targeting of transfer income is never significant, whereas the size of </w:t>
      </w:r>
      <w:r w:rsidR="00E84A89">
        <w:rPr>
          <w:rFonts w:ascii="Times New Roman" w:hAnsi="Times New Roman" w:cs="Times New Roman"/>
          <w:lang w:val="en-CA"/>
        </w:rPr>
        <w:t>transfers</w:t>
      </w:r>
      <w:r w:rsidR="00853F90">
        <w:rPr>
          <w:rFonts w:ascii="Times New Roman" w:hAnsi="Times New Roman" w:cs="Times New Roman"/>
          <w:lang w:val="en-CA"/>
        </w:rPr>
        <w:t xml:space="preserve"> always matter, a result that is consistent with the standard understanding about the virtues of universalism (2016: 35). As the authors recognize, this finding does not preclude a targeting within universalism strategy, whereby “well-designed targeted programmes” would help the poor in a broader context of universalism (2016: 23). The impact of targeting may simply be lost in a multilevel regression for 40 countries.</w:t>
      </w:r>
    </w:p>
    <w:p w14:paraId="7A5D43AB" w14:textId="064B6876" w:rsidR="006B28F2" w:rsidRPr="00152094" w:rsidRDefault="00152094" w:rsidP="00152094">
      <w:pPr>
        <w:spacing w:line="480" w:lineRule="auto"/>
        <w:ind w:firstLine="708"/>
        <w:jc w:val="both"/>
        <w:rPr>
          <w:rFonts w:ascii="Times New Roman" w:hAnsi="Times New Roman" w:cs="Times New Roman"/>
          <w:lang w:val="en-CA"/>
        </w:rPr>
      </w:pPr>
      <w:r>
        <w:rPr>
          <w:rFonts w:ascii="Times New Roman" w:hAnsi="Times New Roman" w:cs="Times New Roman"/>
          <w:lang w:val="en-CA"/>
        </w:rPr>
        <w:t xml:space="preserve">Bivariate correlations </w:t>
      </w:r>
      <w:r w:rsidR="005A725B">
        <w:rPr>
          <w:rFonts w:ascii="Times New Roman" w:hAnsi="Times New Roman" w:cs="Times New Roman"/>
          <w:lang w:val="en-CA"/>
        </w:rPr>
        <w:t>for</w:t>
      </w:r>
      <w:r>
        <w:rPr>
          <w:rFonts w:ascii="Times New Roman" w:hAnsi="Times New Roman" w:cs="Times New Roman"/>
          <w:lang w:val="en-CA"/>
        </w:rPr>
        <w:t xml:space="preserve"> our</w:t>
      </w:r>
      <w:r w:rsidR="00454F67">
        <w:rPr>
          <w:rFonts w:ascii="Times New Roman" w:hAnsi="Times New Roman" w:cs="Times New Roman"/>
          <w:lang w:val="en-CA"/>
        </w:rPr>
        <w:t xml:space="preserve"> 21 OECD </w:t>
      </w:r>
      <w:r w:rsidR="00E06610">
        <w:rPr>
          <w:rFonts w:ascii="Times New Roman" w:hAnsi="Times New Roman" w:cs="Times New Roman"/>
          <w:lang w:val="en-CA"/>
        </w:rPr>
        <w:t>countries</w:t>
      </w:r>
      <w:r w:rsidR="008B7671">
        <w:rPr>
          <w:rFonts w:ascii="Times New Roman" w:hAnsi="Times New Roman" w:cs="Times New Roman"/>
          <w:lang w:val="en-CA"/>
        </w:rPr>
        <w:t>,</w:t>
      </w:r>
      <w:r>
        <w:rPr>
          <w:rFonts w:ascii="Times New Roman" w:hAnsi="Times New Roman" w:cs="Times New Roman"/>
          <w:lang w:val="en-CA"/>
        </w:rPr>
        <w:t xml:space="preserve"> presented in </w:t>
      </w:r>
      <w:r w:rsidR="005A725B">
        <w:rPr>
          <w:rFonts w:ascii="Times New Roman" w:hAnsi="Times New Roman" w:cs="Times New Roman"/>
          <w:lang w:val="en-CA"/>
        </w:rPr>
        <w:t>T</w:t>
      </w:r>
      <w:r>
        <w:rPr>
          <w:rFonts w:ascii="Times New Roman" w:hAnsi="Times New Roman" w:cs="Times New Roman"/>
          <w:lang w:val="en-CA"/>
        </w:rPr>
        <w:t xml:space="preserve">able </w:t>
      </w:r>
      <w:r w:rsidR="00715DF3">
        <w:rPr>
          <w:rFonts w:ascii="Times New Roman" w:hAnsi="Times New Roman" w:cs="Times New Roman"/>
          <w:lang w:val="en-CA"/>
        </w:rPr>
        <w:t>1</w:t>
      </w:r>
      <w:r w:rsidR="008B7671">
        <w:rPr>
          <w:rFonts w:ascii="Times New Roman" w:hAnsi="Times New Roman" w:cs="Times New Roman"/>
          <w:lang w:val="en-CA"/>
        </w:rPr>
        <w:t>,</w:t>
      </w:r>
      <w:r>
        <w:rPr>
          <w:rFonts w:ascii="Times New Roman" w:hAnsi="Times New Roman" w:cs="Times New Roman"/>
          <w:lang w:val="en-CA"/>
        </w:rPr>
        <w:t xml:space="preserve"> confirm </w:t>
      </w:r>
      <w:r w:rsidR="005A725B">
        <w:rPr>
          <w:rFonts w:ascii="Times New Roman" w:hAnsi="Times New Roman" w:cs="Times New Roman"/>
          <w:lang w:val="en-CA"/>
        </w:rPr>
        <w:t xml:space="preserve">the </w:t>
      </w:r>
      <w:r>
        <w:rPr>
          <w:rFonts w:ascii="Times New Roman" w:hAnsi="Times New Roman" w:cs="Times New Roman"/>
          <w:lang w:val="en-CA"/>
        </w:rPr>
        <w:t>strong relationships between universalism</w:t>
      </w:r>
      <w:r w:rsidR="005A725B">
        <w:rPr>
          <w:rFonts w:ascii="Times New Roman" w:hAnsi="Times New Roman" w:cs="Times New Roman"/>
          <w:lang w:val="en-CA"/>
        </w:rPr>
        <w:t>,</w:t>
      </w:r>
      <w:r>
        <w:rPr>
          <w:rFonts w:ascii="Times New Roman" w:hAnsi="Times New Roman" w:cs="Times New Roman"/>
          <w:lang w:val="en-CA"/>
        </w:rPr>
        <w:t xml:space="preserve"> the size of the social budget</w:t>
      </w:r>
      <w:r w:rsidR="005A725B">
        <w:rPr>
          <w:rFonts w:ascii="Times New Roman" w:hAnsi="Times New Roman" w:cs="Times New Roman"/>
          <w:lang w:val="en-CA"/>
        </w:rPr>
        <w:t>,</w:t>
      </w:r>
      <w:r>
        <w:rPr>
          <w:rFonts w:ascii="Times New Roman" w:hAnsi="Times New Roman" w:cs="Times New Roman"/>
          <w:lang w:val="en-CA"/>
        </w:rPr>
        <w:t xml:space="preserve"> redistribution</w:t>
      </w:r>
      <w:r w:rsidR="005A725B">
        <w:rPr>
          <w:rFonts w:ascii="Times New Roman" w:hAnsi="Times New Roman" w:cs="Times New Roman"/>
          <w:lang w:val="en-CA"/>
        </w:rPr>
        <w:t>,</w:t>
      </w:r>
      <w:r>
        <w:rPr>
          <w:rFonts w:ascii="Times New Roman" w:hAnsi="Times New Roman" w:cs="Times New Roman"/>
          <w:lang w:val="en-CA"/>
        </w:rPr>
        <w:t xml:space="preserve"> </w:t>
      </w:r>
      <w:r w:rsidR="00BB0C65">
        <w:rPr>
          <w:rFonts w:ascii="Times New Roman" w:hAnsi="Times New Roman" w:cs="Times New Roman"/>
          <w:lang w:val="en-CA"/>
        </w:rPr>
        <w:t xml:space="preserve"> and </w:t>
      </w:r>
      <w:r>
        <w:rPr>
          <w:rFonts w:ascii="Times New Roman" w:hAnsi="Times New Roman" w:cs="Times New Roman"/>
          <w:lang w:val="en-CA"/>
        </w:rPr>
        <w:t>poverty reduction</w:t>
      </w:r>
      <w:r w:rsidR="00BB0C65">
        <w:rPr>
          <w:rFonts w:ascii="Times New Roman" w:hAnsi="Times New Roman" w:cs="Times New Roman"/>
          <w:lang w:val="en-CA"/>
        </w:rPr>
        <w:t xml:space="preserve"> (similar relationships obtain with actual</w:t>
      </w:r>
      <w:r w:rsidR="00F17E2D">
        <w:rPr>
          <w:rFonts w:ascii="Times New Roman" w:hAnsi="Times New Roman" w:cs="Times New Roman"/>
          <w:lang w:val="en-CA"/>
        </w:rPr>
        <w:t xml:space="preserve"> inequality</w:t>
      </w:r>
      <w:r w:rsidR="00BB0C65">
        <w:rPr>
          <w:rFonts w:ascii="Times New Roman" w:hAnsi="Times New Roman" w:cs="Times New Roman"/>
          <w:lang w:val="en-CA"/>
        </w:rPr>
        <w:t xml:space="preserve"> outcomes</w:t>
      </w:r>
      <w:r w:rsidR="00F17E2D">
        <w:rPr>
          <w:rFonts w:ascii="Times New Roman" w:hAnsi="Times New Roman" w:cs="Times New Roman"/>
          <w:lang w:val="en-CA"/>
        </w:rPr>
        <w:t xml:space="preserve"> and poverty </w:t>
      </w:r>
      <w:r w:rsidR="00BB0C65">
        <w:rPr>
          <w:rFonts w:ascii="Times New Roman" w:hAnsi="Times New Roman" w:cs="Times New Roman"/>
          <w:lang w:val="en-CA"/>
        </w:rPr>
        <w:t>rates; see online appendix Table A3)</w:t>
      </w:r>
      <w:r>
        <w:rPr>
          <w:rFonts w:ascii="Times New Roman" w:hAnsi="Times New Roman" w:cs="Times New Roman"/>
          <w:lang w:val="en-CA"/>
        </w:rPr>
        <w:t>.</w:t>
      </w:r>
      <w:r w:rsidR="00454F67">
        <w:rPr>
          <w:rFonts w:ascii="Times New Roman" w:hAnsi="Times New Roman" w:cs="Times New Roman"/>
          <w:lang w:val="en-CA"/>
        </w:rPr>
        <w:t xml:space="preserve"> </w:t>
      </w:r>
      <w:r w:rsidRPr="007B7233">
        <w:rPr>
          <w:rFonts w:ascii="Times New Roman" w:hAnsi="Times New Roman" w:cs="Times New Roman"/>
          <w:shd w:val="clear" w:color="auto" w:fill="FFFFFF"/>
          <w:lang w:val="en-CA"/>
        </w:rPr>
        <w:t>Th</w:t>
      </w:r>
      <w:r w:rsidR="005A725B">
        <w:rPr>
          <w:rFonts w:ascii="Times New Roman" w:hAnsi="Times New Roman" w:cs="Times New Roman"/>
          <w:shd w:val="clear" w:color="auto" w:fill="FFFFFF"/>
          <w:lang w:val="en-CA"/>
        </w:rPr>
        <w:t>ese</w:t>
      </w:r>
      <w:r w:rsidRPr="007B7233">
        <w:rPr>
          <w:rFonts w:ascii="Times New Roman" w:hAnsi="Times New Roman" w:cs="Times New Roman"/>
          <w:shd w:val="clear" w:color="auto" w:fill="FFFFFF"/>
          <w:lang w:val="en-CA"/>
        </w:rPr>
        <w:t xml:space="preserve"> resul</w:t>
      </w:r>
      <w:r w:rsidR="005A725B">
        <w:rPr>
          <w:rFonts w:ascii="Times New Roman" w:hAnsi="Times New Roman" w:cs="Times New Roman"/>
          <w:shd w:val="clear" w:color="auto" w:fill="FFFFFF"/>
          <w:lang w:val="en-CA"/>
        </w:rPr>
        <w:t>ts are</w:t>
      </w:r>
      <w:r w:rsidRPr="007B7233">
        <w:rPr>
          <w:rFonts w:ascii="Times New Roman" w:hAnsi="Times New Roman" w:cs="Times New Roman"/>
          <w:shd w:val="clear" w:color="auto" w:fill="FFFFFF"/>
          <w:lang w:val="en-CA"/>
        </w:rPr>
        <w:t xml:space="preserve"> consistent with studies that outline the importance of universalism for redistribution</w:t>
      </w:r>
      <w:r w:rsidR="00094CA8">
        <w:rPr>
          <w:rFonts w:ascii="Times New Roman" w:hAnsi="Times New Roman" w:cs="Times New Roman"/>
          <w:shd w:val="clear" w:color="auto" w:fill="FFFFFF"/>
          <w:lang w:val="en-CA"/>
        </w:rPr>
        <w:t xml:space="preserve"> </w:t>
      </w:r>
      <w:r w:rsidRPr="007B7233">
        <w:rPr>
          <w:rFonts w:ascii="Times New Roman" w:hAnsi="Times New Roman" w:cs="Times New Roman"/>
          <w:shd w:val="clear" w:color="auto" w:fill="FFFFFF"/>
          <w:lang w:val="en-CA"/>
        </w:rPr>
        <w:t>(</w:t>
      </w:r>
      <w:r w:rsidR="005A725B" w:rsidRPr="007B7233">
        <w:rPr>
          <w:rFonts w:ascii="Times New Roman" w:hAnsi="Times New Roman" w:cs="Times New Roman"/>
          <w:shd w:val="clear" w:color="auto" w:fill="FFFFFF"/>
          <w:lang w:val="en-CA"/>
        </w:rPr>
        <w:t>Korpi and Palme 1998</w:t>
      </w:r>
      <w:r w:rsidRPr="007B7233">
        <w:rPr>
          <w:rFonts w:ascii="Times New Roman" w:hAnsi="Times New Roman" w:cs="Times New Roman"/>
          <w:shd w:val="clear" w:color="auto" w:fill="FFFFFF"/>
          <w:lang w:val="en-CA"/>
        </w:rPr>
        <w:t xml:space="preserve">; </w:t>
      </w:r>
      <w:r w:rsidRPr="005A725B">
        <w:rPr>
          <w:rFonts w:ascii="Times New Roman" w:hAnsi="Times New Roman" w:cs="Times New Roman"/>
          <w:shd w:val="clear" w:color="auto" w:fill="FFFFFF"/>
          <w:lang w:val="en-CA"/>
        </w:rPr>
        <w:t xml:space="preserve">Ferrarini </w:t>
      </w:r>
      <w:r w:rsidRPr="004D1F6A">
        <w:rPr>
          <w:rFonts w:ascii="Times New Roman" w:hAnsi="Times New Roman" w:cs="Times New Roman"/>
          <w:shd w:val="clear" w:color="auto" w:fill="FFFFFF"/>
          <w:lang w:val="en-CA"/>
        </w:rPr>
        <w:t>et al.</w:t>
      </w:r>
      <w:r w:rsidR="005A725B">
        <w:rPr>
          <w:rFonts w:ascii="Times New Roman" w:hAnsi="Times New Roman" w:cs="Times New Roman"/>
          <w:shd w:val="clear" w:color="auto" w:fill="FFFFFF"/>
          <w:lang w:val="en-CA"/>
        </w:rPr>
        <w:t>,</w:t>
      </w:r>
      <w:r w:rsidRPr="007B7233">
        <w:rPr>
          <w:rFonts w:ascii="Times New Roman" w:hAnsi="Times New Roman" w:cs="Times New Roman"/>
          <w:shd w:val="clear" w:color="auto" w:fill="FFFFFF"/>
          <w:lang w:val="en-CA"/>
        </w:rPr>
        <w:t xml:space="preserve"> 2016).</w:t>
      </w:r>
      <w:r>
        <w:rPr>
          <w:rFonts w:ascii="Times New Roman" w:hAnsi="Times New Roman" w:cs="Times New Roman"/>
          <w:lang w:val="en-CA"/>
        </w:rPr>
        <w:t xml:space="preserve"> </w:t>
      </w:r>
      <w:r w:rsidRPr="007B7233">
        <w:rPr>
          <w:rFonts w:ascii="Times New Roman" w:hAnsi="Times New Roman" w:cs="Times New Roman"/>
          <w:shd w:val="clear" w:color="auto" w:fill="FFFFFF"/>
          <w:lang w:val="en-CA"/>
        </w:rPr>
        <w:t>By itself, pro-poor targeting does little for redistribution</w:t>
      </w:r>
      <w:r w:rsidR="00094CA8">
        <w:rPr>
          <w:rFonts w:ascii="Times New Roman" w:hAnsi="Times New Roman" w:cs="Times New Roman"/>
          <w:shd w:val="clear" w:color="auto" w:fill="FFFFFF"/>
          <w:lang w:val="en-CA"/>
        </w:rPr>
        <w:t xml:space="preserve">, as </w:t>
      </w:r>
      <w:r w:rsidR="005A725B">
        <w:rPr>
          <w:rFonts w:ascii="Times New Roman" w:hAnsi="Times New Roman" w:cs="Times New Roman"/>
          <w:shd w:val="clear" w:color="auto" w:fill="FFFFFF"/>
          <w:lang w:val="en-CA"/>
        </w:rPr>
        <w:t>can be seen in</w:t>
      </w:r>
      <w:r w:rsidRPr="007B7233">
        <w:rPr>
          <w:rFonts w:ascii="Times New Roman" w:hAnsi="Times New Roman" w:cs="Times New Roman"/>
          <w:shd w:val="clear" w:color="auto" w:fill="FFFFFF"/>
          <w:lang w:val="en-CA"/>
        </w:rPr>
        <w:t xml:space="preserve"> Table </w:t>
      </w:r>
      <w:r w:rsidR="00715DF3">
        <w:rPr>
          <w:rFonts w:ascii="Times New Roman" w:hAnsi="Times New Roman" w:cs="Times New Roman"/>
          <w:shd w:val="clear" w:color="auto" w:fill="FFFFFF"/>
          <w:lang w:val="en-CA"/>
        </w:rPr>
        <w:t>1</w:t>
      </w:r>
      <w:r>
        <w:rPr>
          <w:rFonts w:ascii="Times New Roman" w:hAnsi="Times New Roman" w:cs="Times New Roman"/>
          <w:shd w:val="clear" w:color="auto" w:fill="FFFFFF"/>
          <w:lang w:val="en-CA"/>
        </w:rPr>
        <w:t xml:space="preserve">. </w:t>
      </w:r>
      <w:r w:rsidRPr="007B7233">
        <w:rPr>
          <w:rFonts w:ascii="Times New Roman" w:hAnsi="Times New Roman" w:cs="Times New Roman"/>
          <w:shd w:val="clear" w:color="auto" w:fill="FFFFFF"/>
          <w:lang w:val="en-CA"/>
        </w:rPr>
        <w:t xml:space="preserve">This lack of relationship between a pro-poor orientation and redistribution </w:t>
      </w:r>
      <w:r w:rsidR="006B28F2">
        <w:rPr>
          <w:rFonts w:ascii="Times New Roman" w:hAnsi="Times New Roman" w:cs="Times New Roman"/>
          <w:shd w:val="clear" w:color="auto" w:fill="FFFFFF"/>
          <w:lang w:val="en-CA"/>
        </w:rPr>
        <w:t>suggest</w:t>
      </w:r>
      <w:r w:rsidR="005A725B">
        <w:rPr>
          <w:rFonts w:ascii="Times New Roman" w:hAnsi="Times New Roman" w:cs="Times New Roman"/>
          <w:shd w:val="clear" w:color="auto" w:fill="FFFFFF"/>
          <w:lang w:val="en-CA"/>
        </w:rPr>
        <w:t>s</w:t>
      </w:r>
      <w:r w:rsidR="006B28F2">
        <w:rPr>
          <w:rFonts w:ascii="Times New Roman" w:hAnsi="Times New Roman" w:cs="Times New Roman"/>
          <w:shd w:val="clear" w:color="auto" w:fill="FFFFFF"/>
          <w:lang w:val="en-CA"/>
        </w:rPr>
        <w:t xml:space="preserve"> that many</w:t>
      </w:r>
      <w:r w:rsidRPr="007B7233">
        <w:rPr>
          <w:rFonts w:ascii="Times New Roman" w:hAnsi="Times New Roman" w:cs="Times New Roman"/>
          <w:shd w:val="clear" w:color="auto" w:fill="FFFFFF"/>
          <w:lang w:val="en-CA"/>
        </w:rPr>
        <w:t xml:space="preserve"> countries are pro-poor primarily because they help </w:t>
      </w:r>
      <w:r w:rsidR="005A725B">
        <w:rPr>
          <w:rFonts w:ascii="Times New Roman" w:hAnsi="Times New Roman" w:cs="Times New Roman"/>
          <w:shd w:val="clear" w:color="auto" w:fill="FFFFFF"/>
          <w:lang w:val="en-CA"/>
        </w:rPr>
        <w:t>few</w:t>
      </w:r>
      <w:r w:rsidR="005A725B" w:rsidRPr="007B7233">
        <w:rPr>
          <w:rFonts w:ascii="Times New Roman" w:hAnsi="Times New Roman" w:cs="Times New Roman"/>
          <w:shd w:val="clear" w:color="auto" w:fill="FFFFFF"/>
          <w:lang w:val="en-CA"/>
        </w:rPr>
        <w:t xml:space="preserve"> </w:t>
      </w:r>
      <w:r w:rsidRPr="007B7233">
        <w:rPr>
          <w:rFonts w:ascii="Times New Roman" w:hAnsi="Times New Roman" w:cs="Times New Roman"/>
          <w:shd w:val="clear" w:color="auto" w:fill="FFFFFF"/>
          <w:lang w:val="en-CA"/>
        </w:rPr>
        <w:t>but the poor, and do so without enthusiasm</w:t>
      </w:r>
      <w:r w:rsidR="007624ED">
        <w:rPr>
          <w:rFonts w:ascii="Times New Roman" w:hAnsi="Times New Roman" w:cs="Times New Roman"/>
          <w:shd w:val="clear" w:color="auto" w:fill="FFFFFF"/>
          <w:lang w:val="en-CA"/>
        </w:rPr>
        <w:t xml:space="preserve">. </w:t>
      </w:r>
      <w:r w:rsidR="00300B76">
        <w:rPr>
          <w:rFonts w:ascii="Times New Roman" w:hAnsi="Times New Roman" w:cs="Times New Roman"/>
          <w:shd w:val="clear" w:color="auto" w:fill="FFFFFF"/>
          <w:lang w:val="en-CA"/>
        </w:rPr>
        <w:t>M</w:t>
      </w:r>
      <w:r w:rsidR="007624ED">
        <w:rPr>
          <w:rFonts w:ascii="Times New Roman" w:hAnsi="Times New Roman" w:cs="Times New Roman"/>
          <w:shd w:val="clear" w:color="auto" w:fill="FFFFFF"/>
          <w:lang w:val="en-CA"/>
        </w:rPr>
        <w:t>easures of redistribution</w:t>
      </w:r>
      <w:r w:rsidR="00F4261B">
        <w:rPr>
          <w:rFonts w:ascii="Times New Roman" w:hAnsi="Times New Roman" w:cs="Times New Roman"/>
          <w:shd w:val="clear" w:color="auto" w:fill="FFFFFF"/>
          <w:lang w:val="en-CA"/>
        </w:rPr>
        <w:t xml:space="preserve"> based on the Luxemb</w:t>
      </w:r>
      <w:r w:rsidR="008B7671">
        <w:rPr>
          <w:rFonts w:ascii="Times New Roman" w:hAnsi="Times New Roman" w:cs="Times New Roman"/>
          <w:shd w:val="clear" w:color="auto" w:fill="FFFFFF"/>
          <w:lang w:val="en-CA"/>
        </w:rPr>
        <w:t>o</w:t>
      </w:r>
      <w:r w:rsidR="00F4261B">
        <w:rPr>
          <w:rFonts w:ascii="Times New Roman" w:hAnsi="Times New Roman" w:cs="Times New Roman"/>
          <w:shd w:val="clear" w:color="auto" w:fill="FFFFFF"/>
          <w:lang w:val="en-CA"/>
        </w:rPr>
        <w:t>urg Income Study</w:t>
      </w:r>
      <w:r w:rsidR="007624ED">
        <w:rPr>
          <w:rFonts w:ascii="Times New Roman" w:hAnsi="Times New Roman" w:cs="Times New Roman"/>
          <w:shd w:val="clear" w:color="auto" w:fill="FFFFFF"/>
          <w:lang w:val="en-CA"/>
        </w:rPr>
        <w:t xml:space="preserve"> and a different measure of income ranking</w:t>
      </w:r>
      <w:r w:rsidR="00F4261B">
        <w:rPr>
          <w:rFonts w:ascii="Times New Roman" w:hAnsi="Times New Roman" w:cs="Times New Roman"/>
          <w:shd w:val="clear" w:color="auto" w:fill="FFFFFF"/>
          <w:lang w:val="en-CA"/>
        </w:rPr>
        <w:t xml:space="preserve"> for pensions</w:t>
      </w:r>
      <w:r w:rsidR="00300B76">
        <w:rPr>
          <w:rFonts w:ascii="Times New Roman" w:hAnsi="Times New Roman" w:cs="Times New Roman"/>
          <w:shd w:val="clear" w:color="auto" w:fill="FFFFFF"/>
          <w:lang w:val="en-CA"/>
        </w:rPr>
        <w:t xml:space="preserve"> give similar results</w:t>
      </w:r>
      <w:r w:rsidR="007624ED">
        <w:rPr>
          <w:rFonts w:ascii="Times New Roman" w:hAnsi="Times New Roman" w:cs="Times New Roman"/>
          <w:shd w:val="clear" w:color="auto" w:fill="FFFFFF"/>
          <w:lang w:val="en-CA"/>
        </w:rPr>
        <w:t xml:space="preserve"> (</w:t>
      </w:r>
      <w:r w:rsidR="00094CA8">
        <w:rPr>
          <w:rFonts w:ascii="Times New Roman" w:hAnsi="Times New Roman" w:cs="Times New Roman"/>
          <w:shd w:val="clear" w:color="auto" w:fill="FFFFFF"/>
          <w:lang w:val="en-CA"/>
        </w:rPr>
        <w:t>see online supplementary material</w:t>
      </w:r>
      <w:r w:rsidR="000C57E5">
        <w:rPr>
          <w:rFonts w:ascii="Times New Roman" w:hAnsi="Times New Roman" w:cs="Times New Roman"/>
          <w:shd w:val="clear" w:color="auto" w:fill="FFFFFF"/>
          <w:lang w:val="en-CA"/>
        </w:rPr>
        <w:t xml:space="preserve">, Table </w:t>
      </w:r>
      <w:r w:rsidR="00F17E2D">
        <w:rPr>
          <w:rFonts w:ascii="Times New Roman" w:hAnsi="Times New Roman" w:cs="Times New Roman"/>
          <w:shd w:val="clear" w:color="auto" w:fill="FFFFFF"/>
          <w:lang w:val="en-CA"/>
        </w:rPr>
        <w:t>A</w:t>
      </w:r>
      <w:r w:rsidR="00CF1E40">
        <w:rPr>
          <w:rFonts w:ascii="Times New Roman" w:hAnsi="Times New Roman" w:cs="Times New Roman"/>
          <w:shd w:val="clear" w:color="auto" w:fill="FFFFFF"/>
          <w:lang w:val="en-CA"/>
        </w:rPr>
        <w:t>4</w:t>
      </w:r>
      <w:r w:rsidR="007624ED">
        <w:rPr>
          <w:rFonts w:ascii="Times New Roman" w:hAnsi="Times New Roman" w:cs="Times New Roman"/>
          <w:shd w:val="clear" w:color="auto" w:fill="FFFFFF"/>
          <w:lang w:val="en-CA"/>
        </w:rPr>
        <w:t>).</w:t>
      </w:r>
    </w:p>
    <w:p w14:paraId="0E037375" w14:textId="4522A3B3" w:rsidR="00C655D4" w:rsidRDefault="00C655D4">
      <w:pPr>
        <w:rPr>
          <w:rFonts w:ascii="Times New Roman" w:hAnsi="Times New Roman" w:cs="Times New Roman"/>
          <w:b/>
          <w:shd w:val="clear" w:color="auto" w:fill="FFFFFF"/>
          <w:lang w:val="en-CA"/>
        </w:rPr>
      </w:pPr>
      <w:r>
        <w:rPr>
          <w:rFonts w:ascii="Times New Roman" w:hAnsi="Times New Roman" w:cs="Times New Roman"/>
          <w:b/>
          <w:shd w:val="clear" w:color="auto" w:fill="FFFFFF"/>
          <w:lang w:val="en-CA"/>
        </w:rPr>
        <w:br w:type="page"/>
      </w:r>
    </w:p>
    <w:p w14:paraId="5CEEE237" w14:textId="77777777" w:rsidR="000C57E5" w:rsidRDefault="000C57E5">
      <w:pPr>
        <w:rPr>
          <w:rFonts w:ascii="Times New Roman" w:hAnsi="Times New Roman" w:cs="Times New Roman"/>
          <w:b/>
          <w:shd w:val="clear" w:color="auto" w:fill="FFFFFF"/>
          <w:lang w:val="en-CA"/>
        </w:rPr>
      </w:pPr>
    </w:p>
    <w:p w14:paraId="075E6022" w14:textId="3EFD1460" w:rsidR="00F4261B" w:rsidRDefault="00152094" w:rsidP="00C655D4">
      <w:pPr>
        <w:spacing w:line="276" w:lineRule="auto"/>
        <w:ind w:left="1134" w:hanging="567"/>
        <w:jc w:val="both"/>
        <w:rPr>
          <w:rFonts w:ascii="Times New Roman" w:hAnsi="Times New Roman" w:cs="Times New Roman"/>
          <w:b/>
          <w:shd w:val="clear" w:color="auto" w:fill="FFFFFF"/>
          <w:lang w:val="en-CA"/>
        </w:rPr>
      </w:pPr>
      <w:r w:rsidRPr="00387100">
        <w:rPr>
          <w:rFonts w:ascii="Times New Roman" w:hAnsi="Times New Roman" w:cs="Times New Roman"/>
          <w:b/>
          <w:shd w:val="clear" w:color="auto" w:fill="FFFFFF"/>
          <w:lang w:val="en-CA"/>
        </w:rPr>
        <w:t xml:space="preserve">Table </w:t>
      </w:r>
      <w:r w:rsidR="00715DF3">
        <w:rPr>
          <w:rFonts w:ascii="Times New Roman" w:hAnsi="Times New Roman" w:cs="Times New Roman"/>
          <w:b/>
          <w:shd w:val="clear" w:color="auto" w:fill="FFFFFF"/>
          <w:lang w:val="en-CA"/>
        </w:rPr>
        <w:t>1</w:t>
      </w:r>
      <w:r w:rsidRPr="00387100">
        <w:rPr>
          <w:rFonts w:ascii="Times New Roman" w:hAnsi="Times New Roman" w:cs="Times New Roman"/>
          <w:b/>
          <w:shd w:val="clear" w:color="auto" w:fill="FFFFFF"/>
          <w:lang w:val="en-CA"/>
        </w:rPr>
        <w:t xml:space="preserve">. Correlations between universalism, </w:t>
      </w:r>
      <w:r w:rsidR="00F4261B">
        <w:rPr>
          <w:rFonts w:ascii="Times New Roman" w:hAnsi="Times New Roman" w:cs="Times New Roman"/>
          <w:b/>
          <w:shd w:val="clear" w:color="auto" w:fill="FFFFFF"/>
          <w:lang w:val="en-CA"/>
        </w:rPr>
        <w:t xml:space="preserve">the </w:t>
      </w:r>
      <w:r w:rsidRPr="00387100">
        <w:rPr>
          <w:rFonts w:ascii="Times New Roman" w:hAnsi="Times New Roman" w:cs="Times New Roman"/>
          <w:b/>
          <w:shd w:val="clear" w:color="auto" w:fill="FFFFFF"/>
          <w:lang w:val="en-CA"/>
        </w:rPr>
        <w:t>size of the social budget, concentration coefficients</w:t>
      </w:r>
      <w:r w:rsidR="00F4261B">
        <w:rPr>
          <w:rFonts w:ascii="Times New Roman" w:hAnsi="Times New Roman" w:cs="Times New Roman"/>
          <w:b/>
          <w:shd w:val="clear" w:color="auto" w:fill="FFFFFF"/>
          <w:lang w:val="en-CA"/>
        </w:rPr>
        <w:t xml:space="preserve"> for social transfers</w:t>
      </w:r>
      <w:r w:rsidRPr="00387100">
        <w:rPr>
          <w:rFonts w:ascii="Times New Roman" w:hAnsi="Times New Roman" w:cs="Times New Roman"/>
          <w:b/>
          <w:shd w:val="clear" w:color="auto" w:fill="FFFFFF"/>
          <w:lang w:val="en-CA"/>
        </w:rPr>
        <w:t xml:space="preserve"> and redistributive outcomes</w:t>
      </w:r>
      <w:r w:rsidR="00F4261B">
        <w:rPr>
          <w:rFonts w:ascii="Times New Roman" w:hAnsi="Times New Roman" w:cs="Times New Roman"/>
          <w:b/>
          <w:shd w:val="clear" w:color="auto" w:fill="FFFFFF"/>
          <w:lang w:val="en-CA"/>
        </w:rPr>
        <w:t>, 21 OECD, mid-2000s</w:t>
      </w:r>
    </w:p>
    <w:p w14:paraId="39E617B4" w14:textId="3D032E44" w:rsidR="00152094" w:rsidRPr="00387100" w:rsidRDefault="00152094" w:rsidP="00152094">
      <w:pPr>
        <w:spacing w:line="480" w:lineRule="auto"/>
        <w:ind w:firstLine="708"/>
        <w:jc w:val="both"/>
        <w:rPr>
          <w:rFonts w:ascii="Times New Roman" w:hAnsi="Times New Roman" w:cs="Times New Roman"/>
          <w:b/>
          <w:shd w:val="clear" w:color="auto" w:fill="FFFFFF"/>
          <w:lang w:val="en-CA"/>
        </w:rPr>
      </w:pPr>
    </w:p>
    <w:tbl>
      <w:tblPr>
        <w:tblStyle w:val="TableGrid"/>
        <w:tblW w:w="7776" w:type="dxa"/>
        <w:tblBorders>
          <w:insideH w:val="none" w:sz="0" w:space="0" w:color="auto"/>
          <w:insideV w:val="none" w:sz="0" w:space="0" w:color="auto"/>
        </w:tblBorders>
        <w:tblLook w:val="04A0" w:firstRow="1" w:lastRow="0" w:firstColumn="1" w:lastColumn="0" w:noHBand="0" w:noVBand="1"/>
      </w:tblPr>
      <w:tblGrid>
        <w:gridCol w:w="1393"/>
        <w:gridCol w:w="1312"/>
        <w:gridCol w:w="1266"/>
        <w:gridCol w:w="1381"/>
        <w:gridCol w:w="1393"/>
        <w:gridCol w:w="1031"/>
      </w:tblGrid>
      <w:tr w:rsidR="00CF1E40" w14:paraId="2250407D" w14:textId="5867A6D1" w:rsidTr="009622C1">
        <w:tc>
          <w:tcPr>
            <w:tcW w:w="1393" w:type="dxa"/>
            <w:tcBorders>
              <w:top w:val="single" w:sz="4" w:space="0" w:color="auto"/>
              <w:left w:val="nil"/>
              <w:bottom w:val="single" w:sz="4" w:space="0" w:color="auto"/>
            </w:tcBorders>
          </w:tcPr>
          <w:p w14:paraId="4B283067" w14:textId="77777777" w:rsidR="00CF1E40" w:rsidRDefault="00CF1E40" w:rsidP="00955472">
            <w:pPr>
              <w:spacing w:before="120"/>
              <w:jc w:val="both"/>
              <w:rPr>
                <w:rFonts w:ascii="Times New Roman" w:hAnsi="Times New Roman" w:cs="Times New Roman"/>
                <w:shd w:val="clear" w:color="auto" w:fill="FFFFFF"/>
                <w:lang w:val="en-CA"/>
              </w:rPr>
            </w:pPr>
          </w:p>
        </w:tc>
        <w:tc>
          <w:tcPr>
            <w:tcW w:w="1312" w:type="dxa"/>
            <w:tcBorders>
              <w:top w:val="single" w:sz="4" w:space="0" w:color="auto"/>
              <w:bottom w:val="single" w:sz="4" w:space="0" w:color="auto"/>
            </w:tcBorders>
          </w:tcPr>
          <w:p w14:paraId="5FD5BB5A" w14:textId="77777777" w:rsidR="00CF1E40" w:rsidRPr="0005610E" w:rsidRDefault="00CF1E40" w:rsidP="00955472">
            <w:pPr>
              <w:spacing w:before="120"/>
              <w:jc w:val="both"/>
              <w:rPr>
                <w:rFonts w:ascii="Times New Roman" w:hAnsi="Times New Roman" w:cs="Times New Roman"/>
                <w:sz w:val="20"/>
                <w:szCs w:val="20"/>
                <w:shd w:val="clear" w:color="auto" w:fill="FFFFFF"/>
                <w:lang w:val="en-CA"/>
              </w:rPr>
            </w:pPr>
            <w:r w:rsidRPr="0005610E">
              <w:rPr>
                <w:rFonts w:ascii="Times New Roman" w:hAnsi="Times New Roman" w:cs="Times New Roman"/>
                <w:sz w:val="20"/>
                <w:szCs w:val="20"/>
                <w:shd w:val="clear" w:color="auto" w:fill="FFFFFF"/>
                <w:lang w:val="en-CA"/>
              </w:rPr>
              <w:t>Universalism</w:t>
            </w:r>
          </w:p>
        </w:tc>
        <w:tc>
          <w:tcPr>
            <w:tcW w:w="1266" w:type="dxa"/>
            <w:tcBorders>
              <w:top w:val="single" w:sz="4" w:space="0" w:color="auto"/>
              <w:bottom w:val="single" w:sz="4" w:space="0" w:color="auto"/>
            </w:tcBorders>
          </w:tcPr>
          <w:p w14:paraId="25816707" w14:textId="77777777" w:rsidR="00CF1E40" w:rsidRPr="0005610E" w:rsidRDefault="00CF1E40" w:rsidP="00955472">
            <w:pPr>
              <w:spacing w:before="120"/>
              <w:jc w:val="both"/>
              <w:rPr>
                <w:rFonts w:ascii="Times New Roman" w:hAnsi="Times New Roman" w:cs="Times New Roman"/>
                <w:sz w:val="20"/>
                <w:szCs w:val="20"/>
                <w:shd w:val="clear" w:color="auto" w:fill="FFFFFF"/>
                <w:lang w:val="en-CA"/>
              </w:rPr>
            </w:pPr>
            <w:r w:rsidRPr="0005610E">
              <w:rPr>
                <w:rFonts w:ascii="Times New Roman" w:hAnsi="Times New Roman" w:cs="Times New Roman"/>
                <w:sz w:val="20"/>
                <w:szCs w:val="20"/>
                <w:shd w:val="clear" w:color="auto" w:fill="FFFFFF"/>
                <w:lang w:val="en-CA"/>
              </w:rPr>
              <w:t>Social expenditures</w:t>
            </w:r>
          </w:p>
        </w:tc>
        <w:tc>
          <w:tcPr>
            <w:tcW w:w="1381" w:type="dxa"/>
            <w:tcBorders>
              <w:top w:val="single" w:sz="4" w:space="0" w:color="auto"/>
              <w:bottom w:val="single" w:sz="4" w:space="0" w:color="auto"/>
            </w:tcBorders>
          </w:tcPr>
          <w:p w14:paraId="705A50A1" w14:textId="77777777" w:rsidR="00CF1E40" w:rsidRPr="0005610E" w:rsidRDefault="00CF1E40" w:rsidP="00955472">
            <w:pPr>
              <w:spacing w:before="120"/>
              <w:jc w:val="both"/>
              <w:rPr>
                <w:rFonts w:ascii="Times New Roman" w:hAnsi="Times New Roman" w:cs="Times New Roman"/>
                <w:sz w:val="20"/>
                <w:szCs w:val="20"/>
                <w:shd w:val="clear" w:color="auto" w:fill="FFFFFF"/>
                <w:lang w:val="en-CA"/>
              </w:rPr>
            </w:pPr>
            <w:r w:rsidRPr="0005610E">
              <w:rPr>
                <w:rFonts w:ascii="Times New Roman" w:hAnsi="Times New Roman" w:cs="Times New Roman"/>
                <w:sz w:val="20"/>
                <w:szCs w:val="20"/>
                <w:shd w:val="clear" w:color="auto" w:fill="FFFFFF"/>
                <w:lang w:val="en-CA"/>
              </w:rPr>
              <w:t>Concentration coefficient</w:t>
            </w:r>
          </w:p>
        </w:tc>
        <w:tc>
          <w:tcPr>
            <w:tcW w:w="1393" w:type="dxa"/>
            <w:tcBorders>
              <w:top w:val="single" w:sz="4" w:space="0" w:color="auto"/>
              <w:bottom w:val="single" w:sz="4" w:space="0" w:color="auto"/>
            </w:tcBorders>
          </w:tcPr>
          <w:p w14:paraId="53D42F91" w14:textId="77777777" w:rsidR="00CF1E40" w:rsidRPr="0005610E" w:rsidRDefault="00CF1E40" w:rsidP="00955472">
            <w:pPr>
              <w:spacing w:before="120"/>
              <w:jc w:val="both"/>
              <w:rPr>
                <w:rFonts w:ascii="Times New Roman" w:hAnsi="Times New Roman" w:cs="Times New Roman"/>
                <w:sz w:val="20"/>
                <w:szCs w:val="20"/>
                <w:shd w:val="clear" w:color="auto" w:fill="FFFFFF"/>
                <w:lang w:val="en-CA"/>
              </w:rPr>
            </w:pPr>
            <w:r w:rsidRPr="0005610E">
              <w:rPr>
                <w:rFonts w:ascii="Times New Roman" w:hAnsi="Times New Roman" w:cs="Times New Roman"/>
                <w:sz w:val="20"/>
                <w:szCs w:val="20"/>
                <w:shd w:val="clear" w:color="auto" w:fill="FFFFFF"/>
                <w:lang w:val="en-CA"/>
              </w:rPr>
              <w:t>Redistribution</w:t>
            </w:r>
          </w:p>
        </w:tc>
        <w:tc>
          <w:tcPr>
            <w:tcW w:w="1031" w:type="dxa"/>
            <w:tcBorders>
              <w:top w:val="single" w:sz="4" w:space="0" w:color="auto"/>
              <w:bottom w:val="single" w:sz="4" w:space="0" w:color="auto"/>
              <w:right w:val="nil"/>
            </w:tcBorders>
          </w:tcPr>
          <w:p w14:paraId="62F29C43" w14:textId="77777777" w:rsidR="00CF1E40" w:rsidRDefault="00CF1E40" w:rsidP="00955472">
            <w:pPr>
              <w:spacing w:before="120"/>
              <w:jc w:val="both"/>
              <w:rPr>
                <w:rFonts w:ascii="Times New Roman" w:hAnsi="Times New Roman" w:cs="Times New Roman"/>
                <w:sz w:val="20"/>
                <w:szCs w:val="20"/>
                <w:shd w:val="clear" w:color="auto" w:fill="FFFFFF"/>
                <w:lang w:val="en-CA"/>
              </w:rPr>
            </w:pPr>
            <w:r w:rsidRPr="0005610E">
              <w:rPr>
                <w:rFonts w:ascii="Times New Roman" w:hAnsi="Times New Roman" w:cs="Times New Roman"/>
                <w:sz w:val="20"/>
                <w:szCs w:val="20"/>
                <w:shd w:val="clear" w:color="auto" w:fill="FFFFFF"/>
                <w:lang w:val="en-CA"/>
              </w:rPr>
              <w:t>Poverty reduction</w:t>
            </w:r>
          </w:p>
          <w:p w14:paraId="0E31A9EA" w14:textId="4B90089B" w:rsidR="00CF1E40" w:rsidRPr="0005610E" w:rsidRDefault="00CF1E40" w:rsidP="00955472">
            <w:pPr>
              <w:spacing w:before="120"/>
              <w:jc w:val="both"/>
              <w:rPr>
                <w:rFonts w:ascii="Times New Roman" w:hAnsi="Times New Roman" w:cs="Times New Roman"/>
                <w:sz w:val="20"/>
                <w:szCs w:val="20"/>
                <w:shd w:val="clear" w:color="auto" w:fill="FFFFFF"/>
                <w:lang w:val="en-CA"/>
              </w:rPr>
            </w:pPr>
          </w:p>
        </w:tc>
      </w:tr>
      <w:tr w:rsidR="00CF1E40" w14:paraId="051D37FA" w14:textId="520E3FCC" w:rsidTr="009622C1">
        <w:tc>
          <w:tcPr>
            <w:tcW w:w="1393" w:type="dxa"/>
            <w:tcBorders>
              <w:top w:val="single" w:sz="4" w:space="0" w:color="auto"/>
              <w:left w:val="nil"/>
            </w:tcBorders>
          </w:tcPr>
          <w:p w14:paraId="7BC6C403" w14:textId="77777777" w:rsidR="00CF1E40" w:rsidRPr="0005610E" w:rsidRDefault="00CF1E40" w:rsidP="00955472">
            <w:pPr>
              <w:spacing w:before="120" w:line="360" w:lineRule="auto"/>
              <w:jc w:val="both"/>
              <w:rPr>
                <w:rFonts w:ascii="Times New Roman" w:hAnsi="Times New Roman" w:cs="Times New Roman"/>
                <w:sz w:val="20"/>
                <w:szCs w:val="20"/>
                <w:shd w:val="clear" w:color="auto" w:fill="FFFFFF"/>
                <w:lang w:val="en-CA"/>
              </w:rPr>
            </w:pPr>
            <w:r w:rsidRPr="0005610E">
              <w:rPr>
                <w:rFonts w:ascii="Times New Roman" w:hAnsi="Times New Roman" w:cs="Times New Roman"/>
                <w:sz w:val="20"/>
                <w:szCs w:val="20"/>
                <w:shd w:val="clear" w:color="auto" w:fill="FFFFFF"/>
                <w:lang w:val="en-CA"/>
              </w:rPr>
              <w:t>Universalism</w:t>
            </w:r>
          </w:p>
        </w:tc>
        <w:tc>
          <w:tcPr>
            <w:tcW w:w="1312" w:type="dxa"/>
            <w:tcBorders>
              <w:top w:val="single" w:sz="4" w:space="0" w:color="auto"/>
            </w:tcBorders>
          </w:tcPr>
          <w:p w14:paraId="135AA7AB" w14:textId="77777777" w:rsidR="00CF1E40" w:rsidRDefault="00CF1E40" w:rsidP="00955472">
            <w:pPr>
              <w:spacing w:before="120" w:line="480" w:lineRule="auto"/>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1</w:t>
            </w:r>
          </w:p>
        </w:tc>
        <w:tc>
          <w:tcPr>
            <w:tcW w:w="1266" w:type="dxa"/>
            <w:tcBorders>
              <w:top w:val="single" w:sz="4" w:space="0" w:color="auto"/>
            </w:tcBorders>
          </w:tcPr>
          <w:p w14:paraId="17DF1946" w14:textId="77777777" w:rsidR="00CF1E40" w:rsidRDefault="00CF1E40" w:rsidP="00955472">
            <w:pPr>
              <w:spacing w:before="120" w:line="480" w:lineRule="auto"/>
              <w:jc w:val="both"/>
              <w:rPr>
                <w:rFonts w:ascii="Times New Roman" w:hAnsi="Times New Roman" w:cs="Times New Roman"/>
                <w:shd w:val="clear" w:color="auto" w:fill="FFFFFF"/>
                <w:lang w:val="en-CA"/>
              </w:rPr>
            </w:pPr>
          </w:p>
        </w:tc>
        <w:tc>
          <w:tcPr>
            <w:tcW w:w="1381" w:type="dxa"/>
            <w:tcBorders>
              <w:top w:val="single" w:sz="4" w:space="0" w:color="auto"/>
            </w:tcBorders>
          </w:tcPr>
          <w:p w14:paraId="64D95736" w14:textId="77777777" w:rsidR="00CF1E40" w:rsidRDefault="00CF1E40" w:rsidP="00955472">
            <w:pPr>
              <w:spacing w:before="120" w:line="480" w:lineRule="auto"/>
              <w:jc w:val="both"/>
              <w:rPr>
                <w:rFonts w:ascii="Times New Roman" w:hAnsi="Times New Roman" w:cs="Times New Roman"/>
                <w:shd w:val="clear" w:color="auto" w:fill="FFFFFF"/>
                <w:lang w:val="en-CA"/>
              </w:rPr>
            </w:pPr>
          </w:p>
        </w:tc>
        <w:tc>
          <w:tcPr>
            <w:tcW w:w="1393" w:type="dxa"/>
            <w:tcBorders>
              <w:top w:val="single" w:sz="4" w:space="0" w:color="auto"/>
            </w:tcBorders>
          </w:tcPr>
          <w:p w14:paraId="00F3A915" w14:textId="77777777" w:rsidR="00CF1E40" w:rsidRDefault="00CF1E40" w:rsidP="00955472">
            <w:pPr>
              <w:spacing w:before="120" w:line="480" w:lineRule="auto"/>
              <w:jc w:val="both"/>
              <w:rPr>
                <w:rFonts w:ascii="Times New Roman" w:hAnsi="Times New Roman" w:cs="Times New Roman"/>
                <w:shd w:val="clear" w:color="auto" w:fill="FFFFFF"/>
                <w:lang w:val="en-CA"/>
              </w:rPr>
            </w:pPr>
          </w:p>
        </w:tc>
        <w:tc>
          <w:tcPr>
            <w:tcW w:w="1031" w:type="dxa"/>
            <w:tcBorders>
              <w:top w:val="single" w:sz="4" w:space="0" w:color="auto"/>
              <w:right w:val="nil"/>
            </w:tcBorders>
          </w:tcPr>
          <w:p w14:paraId="1EAA44C7" w14:textId="77777777" w:rsidR="00CF1E40" w:rsidRDefault="00CF1E40" w:rsidP="00955472">
            <w:pPr>
              <w:spacing w:before="120" w:line="480" w:lineRule="auto"/>
              <w:jc w:val="both"/>
              <w:rPr>
                <w:rFonts w:ascii="Times New Roman" w:hAnsi="Times New Roman" w:cs="Times New Roman"/>
                <w:shd w:val="clear" w:color="auto" w:fill="FFFFFF"/>
                <w:lang w:val="en-CA"/>
              </w:rPr>
            </w:pPr>
          </w:p>
        </w:tc>
      </w:tr>
      <w:tr w:rsidR="00CF1E40" w14:paraId="6EB98CB1" w14:textId="5E3275F5" w:rsidTr="009622C1">
        <w:tc>
          <w:tcPr>
            <w:tcW w:w="1393" w:type="dxa"/>
            <w:tcBorders>
              <w:left w:val="nil"/>
            </w:tcBorders>
          </w:tcPr>
          <w:p w14:paraId="4CF91AD8" w14:textId="77777777" w:rsidR="00CF1E40" w:rsidRPr="0005610E" w:rsidRDefault="00CF1E40" w:rsidP="00955472">
            <w:pPr>
              <w:spacing w:before="120" w:line="276" w:lineRule="auto"/>
              <w:jc w:val="both"/>
              <w:rPr>
                <w:rFonts w:ascii="Times New Roman" w:hAnsi="Times New Roman" w:cs="Times New Roman"/>
                <w:sz w:val="20"/>
                <w:szCs w:val="20"/>
                <w:shd w:val="clear" w:color="auto" w:fill="FFFFFF"/>
                <w:lang w:val="en-CA"/>
              </w:rPr>
            </w:pPr>
            <w:r w:rsidRPr="0005610E">
              <w:rPr>
                <w:rFonts w:ascii="Times New Roman" w:hAnsi="Times New Roman" w:cs="Times New Roman"/>
                <w:sz w:val="20"/>
                <w:szCs w:val="20"/>
                <w:shd w:val="clear" w:color="auto" w:fill="FFFFFF"/>
                <w:lang w:val="en-CA"/>
              </w:rPr>
              <w:t>Social expenditures</w:t>
            </w:r>
          </w:p>
        </w:tc>
        <w:tc>
          <w:tcPr>
            <w:tcW w:w="1312" w:type="dxa"/>
          </w:tcPr>
          <w:p w14:paraId="0B87A853" w14:textId="761A0E99" w:rsidR="00CF1E40" w:rsidRDefault="00CF1E40" w:rsidP="00955472">
            <w:pPr>
              <w:spacing w:before="120" w:line="480" w:lineRule="auto"/>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.73</w:t>
            </w:r>
          </w:p>
        </w:tc>
        <w:tc>
          <w:tcPr>
            <w:tcW w:w="1266" w:type="dxa"/>
          </w:tcPr>
          <w:p w14:paraId="6E513DD5" w14:textId="77777777" w:rsidR="00CF1E40" w:rsidRDefault="00CF1E40" w:rsidP="00955472">
            <w:pPr>
              <w:spacing w:before="120" w:line="480" w:lineRule="auto"/>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1</w:t>
            </w:r>
          </w:p>
        </w:tc>
        <w:tc>
          <w:tcPr>
            <w:tcW w:w="1381" w:type="dxa"/>
          </w:tcPr>
          <w:p w14:paraId="3DBE11BC" w14:textId="77777777" w:rsidR="00CF1E40" w:rsidRDefault="00CF1E40" w:rsidP="00955472">
            <w:pPr>
              <w:spacing w:before="120" w:line="480" w:lineRule="auto"/>
              <w:jc w:val="both"/>
              <w:rPr>
                <w:rFonts w:ascii="Times New Roman" w:hAnsi="Times New Roman" w:cs="Times New Roman"/>
                <w:shd w:val="clear" w:color="auto" w:fill="FFFFFF"/>
                <w:lang w:val="en-CA"/>
              </w:rPr>
            </w:pPr>
          </w:p>
        </w:tc>
        <w:tc>
          <w:tcPr>
            <w:tcW w:w="1393" w:type="dxa"/>
          </w:tcPr>
          <w:p w14:paraId="3FBB2ECA" w14:textId="77777777" w:rsidR="00CF1E40" w:rsidRDefault="00CF1E40" w:rsidP="00955472">
            <w:pPr>
              <w:spacing w:before="120" w:line="480" w:lineRule="auto"/>
              <w:jc w:val="both"/>
              <w:rPr>
                <w:rFonts w:ascii="Times New Roman" w:hAnsi="Times New Roman" w:cs="Times New Roman"/>
                <w:shd w:val="clear" w:color="auto" w:fill="FFFFFF"/>
                <w:lang w:val="en-CA"/>
              </w:rPr>
            </w:pPr>
          </w:p>
        </w:tc>
        <w:tc>
          <w:tcPr>
            <w:tcW w:w="1031" w:type="dxa"/>
            <w:tcBorders>
              <w:right w:val="nil"/>
            </w:tcBorders>
          </w:tcPr>
          <w:p w14:paraId="0AFEDEE4" w14:textId="77777777" w:rsidR="00CF1E40" w:rsidRDefault="00CF1E40" w:rsidP="00955472">
            <w:pPr>
              <w:spacing w:before="120" w:line="480" w:lineRule="auto"/>
              <w:jc w:val="both"/>
              <w:rPr>
                <w:rFonts w:ascii="Times New Roman" w:hAnsi="Times New Roman" w:cs="Times New Roman"/>
                <w:shd w:val="clear" w:color="auto" w:fill="FFFFFF"/>
                <w:lang w:val="en-CA"/>
              </w:rPr>
            </w:pPr>
          </w:p>
        </w:tc>
      </w:tr>
      <w:tr w:rsidR="00CF1E40" w14:paraId="3BA44701" w14:textId="5A61E80F" w:rsidTr="009622C1">
        <w:tc>
          <w:tcPr>
            <w:tcW w:w="1393" w:type="dxa"/>
            <w:tcBorders>
              <w:left w:val="nil"/>
            </w:tcBorders>
          </w:tcPr>
          <w:p w14:paraId="5F576786" w14:textId="77777777" w:rsidR="00CF1E40" w:rsidRPr="0005610E" w:rsidRDefault="00CF1E40" w:rsidP="00955472">
            <w:pPr>
              <w:spacing w:before="120" w:line="276" w:lineRule="auto"/>
              <w:jc w:val="both"/>
              <w:rPr>
                <w:rFonts w:ascii="Times New Roman" w:hAnsi="Times New Roman" w:cs="Times New Roman"/>
                <w:sz w:val="20"/>
                <w:szCs w:val="20"/>
                <w:shd w:val="clear" w:color="auto" w:fill="FFFFFF"/>
                <w:lang w:val="en-CA"/>
              </w:rPr>
            </w:pPr>
            <w:r w:rsidRPr="0005610E">
              <w:rPr>
                <w:rFonts w:ascii="Times New Roman" w:hAnsi="Times New Roman" w:cs="Times New Roman"/>
                <w:sz w:val="20"/>
                <w:szCs w:val="20"/>
                <w:shd w:val="clear" w:color="auto" w:fill="FFFFFF"/>
                <w:lang w:val="en-CA"/>
              </w:rPr>
              <w:t>Concentration coefficient</w:t>
            </w:r>
          </w:p>
        </w:tc>
        <w:tc>
          <w:tcPr>
            <w:tcW w:w="1312" w:type="dxa"/>
          </w:tcPr>
          <w:p w14:paraId="372B5805" w14:textId="33FA95BC" w:rsidR="00CF1E40" w:rsidRDefault="00CF1E40" w:rsidP="00955472">
            <w:pPr>
              <w:spacing w:before="120" w:line="480" w:lineRule="auto"/>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.36</w:t>
            </w:r>
          </w:p>
        </w:tc>
        <w:tc>
          <w:tcPr>
            <w:tcW w:w="1266" w:type="dxa"/>
          </w:tcPr>
          <w:p w14:paraId="14DC9794" w14:textId="2BC8C6D0" w:rsidR="00CF1E40" w:rsidRDefault="00CF1E40" w:rsidP="00955472">
            <w:pPr>
              <w:spacing w:before="120" w:line="480" w:lineRule="auto"/>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.40</w:t>
            </w:r>
          </w:p>
        </w:tc>
        <w:tc>
          <w:tcPr>
            <w:tcW w:w="1381" w:type="dxa"/>
          </w:tcPr>
          <w:p w14:paraId="6DAFC17C" w14:textId="557647A8" w:rsidR="00CF1E40" w:rsidRDefault="00CF1E40" w:rsidP="00955472">
            <w:pPr>
              <w:spacing w:before="120" w:line="480" w:lineRule="auto"/>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 xml:space="preserve">  1</w:t>
            </w:r>
          </w:p>
        </w:tc>
        <w:tc>
          <w:tcPr>
            <w:tcW w:w="1393" w:type="dxa"/>
          </w:tcPr>
          <w:p w14:paraId="0A9E9F25" w14:textId="77777777" w:rsidR="00CF1E40" w:rsidRDefault="00CF1E40" w:rsidP="00955472">
            <w:pPr>
              <w:spacing w:before="120" w:line="480" w:lineRule="auto"/>
              <w:jc w:val="both"/>
              <w:rPr>
                <w:rFonts w:ascii="Times New Roman" w:hAnsi="Times New Roman" w:cs="Times New Roman"/>
                <w:shd w:val="clear" w:color="auto" w:fill="FFFFFF"/>
                <w:lang w:val="en-CA"/>
              </w:rPr>
            </w:pPr>
          </w:p>
        </w:tc>
        <w:tc>
          <w:tcPr>
            <w:tcW w:w="1031" w:type="dxa"/>
            <w:tcBorders>
              <w:right w:val="nil"/>
            </w:tcBorders>
          </w:tcPr>
          <w:p w14:paraId="024C13E7" w14:textId="77777777" w:rsidR="00CF1E40" w:rsidRDefault="00CF1E40" w:rsidP="00955472">
            <w:pPr>
              <w:spacing w:before="120" w:line="480" w:lineRule="auto"/>
              <w:jc w:val="both"/>
              <w:rPr>
                <w:rFonts w:ascii="Times New Roman" w:hAnsi="Times New Roman" w:cs="Times New Roman"/>
                <w:shd w:val="clear" w:color="auto" w:fill="FFFFFF"/>
                <w:lang w:val="en-CA"/>
              </w:rPr>
            </w:pPr>
          </w:p>
        </w:tc>
      </w:tr>
      <w:tr w:rsidR="00CF1E40" w14:paraId="517B8D61" w14:textId="073165E0" w:rsidTr="009622C1">
        <w:tc>
          <w:tcPr>
            <w:tcW w:w="1393" w:type="dxa"/>
            <w:tcBorders>
              <w:left w:val="nil"/>
            </w:tcBorders>
          </w:tcPr>
          <w:p w14:paraId="2844D326" w14:textId="77777777" w:rsidR="00CF1E40" w:rsidRPr="0005610E" w:rsidRDefault="00CF1E40" w:rsidP="00955472">
            <w:pPr>
              <w:spacing w:before="120" w:line="360" w:lineRule="auto"/>
              <w:jc w:val="both"/>
              <w:rPr>
                <w:rFonts w:ascii="Times New Roman" w:hAnsi="Times New Roman" w:cs="Times New Roman"/>
                <w:sz w:val="20"/>
                <w:szCs w:val="20"/>
                <w:shd w:val="clear" w:color="auto" w:fill="FFFFFF"/>
                <w:lang w:val="en-CA"/>
              </w:rPr>
            </w:pPr>
            <w:r w:rsidRPr="0005610E">
              <w:rPr>
                <w:rFonts w:ascii="Times New Roman" w:hAnsi="Times New Roman" w:cs="Times New Roman"/>
                <w:sz w:val="20"/>
                <w:szCs w:val="20"/>
                <w:shd w:val="clear" w:color="auto" w:fill="FFFFFF"/>
                <w:lang w:val="en-CA"/>
              </w:rPr>
              <w:t>Redistribution</w:t>
            </w:r>
          </w:p>
        </w:tc>
        <w:tc>
          <w:tcPr>
            <w:tcW w:w="1312" w:type="dxa"/>
          </w:tcPr>
          <w:p w14:paraId="736524DB" w14:textId="7D44AF8F" w:rsidR="00CF1E40" w:rsidRDefault="00CF1E40" w:rsidP="00955472">
            <w:pPr>
              <w:spacing w:before="120" w:line="480" w:lineRule="auto"/>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.58</w:t>
            </w:r>
          </w:p>
        </w:tc>
        <w:tc>
          <w:tcPr>
            <w:tcW w:w="1266" w:type="dxa"/>
          </w:tcPr>
          <w:p w14:paraId="0A43CD6A" w14:textId="56E05124" w:rsidR="00CF1E40" w:rsidRDefault="00CF1E40" w:rsidP="00955472">
            <w:pPr>
              <w:spacing w:before="120" w:line="480" w:lineRule="auto"/>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.78</w:t>
            </w:r>
          </w:p>
        </w:tc>
        <w:tc>
          <w:tcPr>
            <w:tcW w:w="1381" w:type="dxa"/>
          </w:tcPr>
          <w:p w14:paraId="662C05B1" w14:textId="39700F1D" w:rsidR="00CF1E40" w:rsidRDefault="00CF1E40" w:rsidP="00955472">
            <w:pPr>
              <w:spacing w:before="120" w:line="480" w:lineRule="auto"/>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 .1</w:t>
            </w:r>
          </w:p>
        </w:tc>
        <w:tc>
          <w:tcPr>
            <w:tcW w:w="1393" w:type="dxa"/>
          </w:tcPr>
          <w:p w14:paraId="41E33B41" w14:textId="77777777" w:rsidR="00CF1E40" w:rsidRDefault="00CF1E40" w:rsidP="00955472">
            <w:pPr>
              <w:spacing w:before="120" w:line="480" w:lineRule="auto"/>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1</w:t>
            </w:r>
          </w:p>
        </w:tc>
        <w:tc>
          <w:tcPr>
            <w:tcW w:w="1031" w:type="dxa"/>
            <w:tcBorders>
              <w:right w:val="nil"/>
            </w:tcBorders>
          </w:tcPr>
          <w:p w14:paraId="4565124A" w14:textId="77777777" w:rsidR="00CF1E40" w:rsidRDefault="00CF1E40" w:rsidP="00955472">
            <w:pPr>
              <w:spacing w:before="120" w:line="480" w:lineRule="auto"/>
              <w:jc w:val="both"/>
              <w:rPr>
                <w:rFonts w:ascii="Times New Roman" w:hAnsi="Times New Roman" w:cs="Times New Roman"/>
                <w:shd w:val="clear" w:color="auto" w:fill="FFFFFF"/>
                <w:lang w:val="en-CA"/>
              </w:rPr>
            </w:pPr>
          </w:p>
        </w:tc>
      </w:tr>
      <w:tr w:rsidR="00CF1E40" w14:paraId="23AF8770" w14:textId="4F8A9398" w:rsidTr="009622C1">
        <w:tc>
          <w:tcPr>
            <w:tcW w:w="1393" w:type="dxa"/>
            <w:tcBorders>
              <w:left w:val="nil"/>
            </w:tcBorders>
          </w:tcPr>
          <w:p w14:paraId="0BEB9CAE" w14:textId="77777777" w:rsidR="00CF1E40" w:rsidRPr="0005610E" w:rsidRDefault="00CF1E40" w:rsidP="00955472">
            <w:pPr>
              <w:spacing w:line="276" w:lineRule="auto"/>
              <w:jc w:val="both"/>
              <w:rPr>
                <w:rFonts w:ascii="Times New Roman" w:hAnsi="Times New Roman" w:cs="Times New Roman"/>
                <w:sz w:val="20"/>
                <w:szCs w:val="20"/>
                <w:shd w:val="clear" w:color="auto" w:fill="FFFFFF"/>
                <w:lang w:val="en-CA"/>
              </w:rPr>
            </w:pPr>
            <w:r w:rsidRPr="0005610E">
              <w:rPr>
                <w:rFonts w:ascii="Times New Roman" w:hAnsi="Times New Roman" w:cs="Times New Roman"/>
                <w:sz w:val="20"/>
                <w:szCs w:val="20"/>
                <w:shd w:val="clear" w:color="auto" w:fill="FFFFFF"/>
                <w:lang w:val="en-CA"/>
              </w:rPr>
              <w:t>Poverty reduction</w:t>
            </w:r>
          </w:p>
        </w:tc>
        <w:tc>
          <w:tcPr>
            <w:tcW w:w="1312" w:type="dxa"/>
          </w:tcPr>
          <w:p w14:paraId="68E67BE7" w14:textId="13133856" w:rsidR="00CF1E40" w:rsidRDefault="00CF1E40" w:rsidP="00955472">
            <w:pPr>
              <w:spacing w:before="120" w:line="480" w:lineRule="auto"/>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.60</w:t>
            </w:r>
          </w:p>
        </w:tc>
        <w:tc>
          <w:tcPr>
            <w:tcW w:w="1266" w:type="dxa"/>
          </w:tcPr>
          <w:p w14:paraId="6D2C2BB3" w14:textId="69DC866A" w:rsidR="00CF1E40" w:rsidRDefault="00CF1E40" w:rsidP="00955472">
            <w:pPr>
              <w:spacing w:before="120" w:line="480" w:lineRule="auto"/>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.78</w:t>
            </w:r>
          </w:p>
        </w:tc>
        <w:tc>
          <w:tcPr>
            <w:tcW w:w="1381" w:type="dxa"/>
          </w:tcPr>
          <w:p w14:paraId="5295699D" w14:textId="2EDE3D2A" w:rsidR="00CF1E40" w:rsidRDefault="00CF1E40" w:rsidP="00955472">
            <w:pPr>
              <w:spacing w:before="120" w:line="480" w:lineRule="auto"/>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-.005</w:t>
            </w:r>
          </w:p>
        </w:tc>
        <w:tc>
          <w:tcPr>
            <w:tcW w:w="1393" w:type="dxa"/>
          </w:tcPr>
          <w:p w14:paraId="490181FA" w14:textId="77777777" w:rsidR="00CF1E40" w:rsidRDefault="00CF1E40" w:rsidP="00955472">
            <w:pPr>
              <w:spacing w:before="120" w:line="480" w:lineRule="auto"/>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.89</w:t>
            </w:r>
          </w:p>
        </w:tc>
        <w:tc>
          <w:tcPr>
            <w:tcW w:w="1031" w:type="dxa"/>
            <w:tcBorders>
              <w:right w:val="nil"/>
            </w:tcBorders>
          </w:tcPr>
          <w:p w14:paraId="59E43AC5" w14:textId="77777777" w:rsidR="00CF1E40" w:rsidRDefault="00CF1E40" w:rsidP="00955472">
            <w:pPr>
              <w:spacing w:before="120" w:line="480" w:lineRule="auto"/>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1</w:t>
            </w:r>
          </w:p>
        </w:tc>
      </w:tr>
    </w:tbl>
    <w:p w14:paraId="0B26A8C1" w14:textId="49260C4E" w:rsidR="00152094" w:rsidRDefault="00152094" w:rsidP="00955472">
      <w:pPr>
        <w:spacing w:line="276" w:lineRule="auto"/>
        <w:jc w:val="both"/>
        <w:rPr>
          <w:rFonts w:ascii="Times New Roman" w:hAnsi="Times New Roman" w:cs="Times New Roman"/>
          <w:lang w:val="en-CA"/>
        </w:rPr>
      </w:pPr>
    </w:p>
    <w:p w14:paraId="53B2F0BD" w14:textId="01B2EF39" w:rsidR="00B949AF" w:rsidRDefault="00C655D4" w:rsidP="00955472">
      <w:pPr>
        <w:spacing w:line="276" w:lineRule="auto"/>
        <w:jc w:val="both"/>
        <w:rPr>
          <w:rFonts w:ascii="Times New Roman" w:hAnsi="Times New Roman" w:cs="Times New Roman"/>
          <w:lang w:val="en-CA"/>
        </w:rPr>
      </w:pPr>
      <w:r>
        <w:rPr>
          <w:rFonts w:ascii="Times New Roman" w:hAnsi="Times New Roman" w:cs="Times New Roman"/>
          <w:lang w:val="en-CA"/>
        </w:rPr>
        <w:t xml:space="preserve">     </w:t>
      </w:r>
      <w:r w:rsidR="00B949AF">
        <w:rPr>
          <w:rFonts w:ascii="Times New Roman" w:hAnsi="Times New Roman" w:cs="Times New Roman"/>
          <w:lang w:val="en-CA"/>
        </w:rPr>
        <w:t>Sources: OECD, 2008, 2018a, and 2018b.</w:t>
      </w:r>
    </w:p>
    <w:p w14:paraId="4E63AD2F" w14:textId="77777777" w:rsidR="00B949AF" w:rsidRDefault="00B949AF" w:rsidP="00955472">
      <w:pPr>
        <w:spacing w:line="276" w:lineRule="auto"/>
        <w:jc w:val="both"/>
        <w:rPr>
          <w:rFonts w:ascii="Times New Roman" w:hAnsi="Times New Roman" w:cs="Times New Roman"/>
          <w:lang w:val="en-CA"/>
        </w:rPr>
      </w:pPr>
    </w:p>
    <w:p w14:paraId="3FC2C107" w14:textId="77777777" w:rsidR="000C57E5" w:rsidRDefault="000C57E5" w:rsidP="002F4171">
      <w:pPr>
        <w:spacing w:line="480" w:lineRule="auto"/>
        <w:jc w:val="both"/>
        <w:rPr>
          <w:rFonts w:ascii="Times New Roman" w:hAnsi="Times New Roman" w:cs="Times New Roman"/>
          <w:shd w:val="clear" w:color="auto" w:fill="FFFFFF"/>
          <w:lang w:val="en-CA"/>
        </w:rPr>
      </w:pPr>
    </w:p>
    <w:p w14:paraId="79F1CF66" w14:textId="0404C32A" w:rsidR="002F4171" w:rsidRDefault="00F4261B" w:rsidP="000C57E5">
      <w:pPr>
        <w:spacing w:line="480" w:lineRule="auto"/>
        <w:ind w:firstLine="567"/>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T</w:t>
      </w:r>
      <w:r w:rsidR="00152094">
        <w:rPr>
          <w:rFonts w:ascii="Times New Roman" w:hAnsi="Times New Roman" w:cs="Times New Roman"/>
          <w:shd w:val="clear" w:color="auto" w:fill="FFFFFF"/>
          <w:lang w:val="en-CA"/>
        </w:rPr>
        <w:t>he size of social transfers, encouraged by universalism</w:t>
      </w:r>
      <w:r w:rsidR="007624ED">
        <w:rPr>
          <w:rFonts w:ascii="Times New Roman" w:hAnsi="Times New Roman" w:cs="Times New Roman"/>
          <w:shd w:val="clear" w:color="auto" w:fill="FFFFFF"/>
          <w:lang w:val="en-CA"/>
        </w:rPr>
        <w:t>,</w:t>
      </w:r>
      <w:r w:rsidR="00152094">
        <w:rPr>
          <w:rFonts w:ascii="Times New Roman" w:hAnsi="Times New Roman" w:cs="Times New Roman"/>
          <w:shd w:val="clear" w:color="auto" w:fill="FFFFFF"/>
          <w:lang w:val="en-CA"/>
        </w:rPr>
        <w:t xml:space="preserve"> matters more than</w:t>
      </w:r>
      <w:r>
        <w:rPr>
          <w:rFonts w:ascii="Times New Roman" w:hAnsi="Times New Roman" w:cs="Times New Roman"/>
          <w:shd w:val="clear" w:color="auto" w:fill="FFFFFF"/>
          <w:lang w:val="en-CA"/>
        </w:rPr>
        <w:t xml:space="preserve"> their</w:t>
      </w:r>
      <w:r w:rsidR="00152094">
        <w:rPr>
          <w:rFonts w:ascii="Times New Roman" w:hAnsi="Times New Roman" w:cs="Times New Roman"/>
          <w:shd w:val="clear" w:color="auto" w:fill="FFFFFF"/>
          <w:lang w:val="en-CA"/>
        </w:rPr>
        <w:t xml:space="preserve"> pro-poor concentration for redistribution and poverty reduction. </w:t>
      </w:r>
      <w:r>
        <w:rPr>
          <w:rFonts w:ascii="Times New Roman" w:hAnsi="Times New Roman" w:cs="Times New Roman"/>
          <w:shd w:val="clear" w:color="auto" w:fill="FFFFFF"/>
          <w:lang w:val="en-CA"/>
        </w:rPr>
        <w:t>F</w:t>
      </w:r>
      <w:r w:rsidR="00AF22FD">
        <w:rPr>
          <w:rFonts w:ascii="Times New Roman" w:hAnsi="Times New Roman" w:cs="Times New Roman"/>
          <w:shd w:val="clear" w:color="auto" w:fill="FFFFFF"/>
          <w:lang w:val="en-CA"/>
        </w:rPr>
        <w:t>or a similar social budget,</w:t>
      </w:r>
      <w:r>
        <w:rPr>
          <w:rFonts w:ascii="Times New Roman" w:hAnsi="Times New Roman" w:cs="Times New Roman"/>
          <w:shd w:val="clear" w:color="auto" w:fill="FFFFFF"/>
          <w:lang w:val="en-CA"/>
        </w:rPr>
        <w:t xml:space="preserve"> however,</w:t>
      </w:r>
      <w:r w:rsidR="00AF22FD">
        <w:rPr>
          <w:rFonts w:ascii="Times New Roman" w:hAnsi="Times New Roman" w:cs="Times New Roman"/>
          <w:shd w:val="clear" w:color="auto" w:fill="FFFFFF"/>
          <w:lang w:val="en-CA"/>
        </w:rPr>
        <w:t xml:space="preserve"> a welfare state with stronger pro-poor targeting </w:t>
      </w:r>
      <w:r w:rsidR="00CF1E40">
        <w:rPr>
          <w:rFonts w:ascii="Times New Roman" w:hAnsi="Times New Roman" w:cs="Times New Roman"/>
          <w:shd w:val="clear" w:color="auto" w:fill="FFFFFF"/>
          <w:lang w:val="en-CA"/>
        </w:rPr>
        <w:t>achieves</w:t>
      </w:r>
      <w:r w:rsidR="00413B05">
        <w:rPr>
          <w:rFonts w:ascii="Times New Roman" w:hAnsi="Times New Roman" w:cs="Times New Roman"/>
          <w:shd w:val="clear" w:color="auto" w:fill="FFFFFF"/>
          <w:lang w:val="en-CA"/>
        </w:rPr>
        <w:t xml:space="preserve"> </w:t>
      </w:r>
      <w:r w:rsidR="00AF22FD">
        <w:rPr>
          <w:rFonts w:ascii="Times New Roman" w:hAnsi="Times New Roman" w:cs="Times New Roman"/>
          <w:shd w:val="clear" w:color="auto" w:fill="FFFFFF"/>
          <w:lang w:val="en-CA"/>
        </w:rPr>
        <w:t xml:space="preserve">better redistributive results than </w:t>
      </w:r>
      <w:r w:rsidR="00956EC8">
        <w:rPr>
          <w:rFonts w:ascii="Times New Roman" w:hAnsi="Times New Roman" w:cs="Times New Roman"/>
          <w:shd w:val="clear" w:color="auto" w:fill="FFFFFF"/>
          <w:lang w:val="en-CA"/>
        </w:rPr>
        <w:t>one</w:t>
      </w:r>
      <w:r w:rsidR="00AF22FD">
        <w:rPr>
          <w:rFonts w:ascii="Times New Roman" w:hAnsi="Times New Roman" w:cs="Times New Roman"/>
          <w:shd w:val="clear" w:color="auto" w:fill="FFFFFF"/>
          <w:lang w:val="en-CA"/>
        </w:rPr>
        <w:t xml:space="preserve"> with pro-rich </w:t>
      </w:r>
      <w:r>
        <w:rPr>
          <w:rFonts w:ascii="Times New Roman" w:hAnsi="Times New Roman" w:cs="Times New Roman"/>
          <w:shd w:val="clear" w:color="auto" w:fill="FFFFFF"/>
          <w:lang w:val="en-CA"/>
        </w:rPr>
        <w:t>transfers</w:t>
      </w:r>
      <w:r w:rsidR="00AF22FD">
        <w:rPr>
          <w:rFonts w:ascii="Times New Roman" w:hAnsi="Times New Roman" w:cs="Times New Roman"/>
          <w:shd w:val="clear" w:color="auto" w:fill="FFFFFF"/>
          <w:lang w:val="en-CA"/>
        </w:rPr>
        <w:t>.</w:t>
      </w:r>
      <w:r w:rsidR="00685067">
        <w:rPr>
          <w:rFonts w:ascii="Times New Roman" w:hAnsi="Times New Roman" w:cs="Times New Roman"/>
          <w:shd w:val="clear" w:color="auto" w:fill="FFFFFF"/>
          <w:lang w:val="en-CA"/>
        </w:rPr>
        <w:t xml:space="preserve"> Figure </w:t>
      </w:r>
      <w:r w:rsidR="00522689">
        <w:rPr>
          <w:rFonts w:ascii="Times New Roman" w:hAnsi="Times New Roman" w:cs="Times New Roman"/>
          <w:shd w:val="clear" w:color="auto" w:fill="FFFFFF"/>
          <w:lang w:val="en-CA"/>
        </w:rPr>
        <w:t>2</w:t>
      </w:r>
      <w:r w:rsidR="00685067">
        <w:rPr>
          <w:rFonts w:ascii="Times New Roman" w:hAnsi="Times New Roman" w:cs="Times New Roman"/>
          <w:shd w:val="clear" w:color="auto" w:fill="FFFFFF"/>
          <w:lang w:val="en-CA"/>
        </w:rPr>
        <w:t xml:space="preserve"> presents the results of </w:t>
      </w:r>
      <w:r w:rsidR="00135B3B">
        <w:rPr>
          <w:rFonts w:ascii="Times New Roman" w:hAnsi="Times New Roman" w:cs="Times New Roman"/>
          <w:shd w:val="clear" w:color="auto" w:fill="FFFFFF"/>
          <w:lang w:val="en-CA"/>
        </w:rPr>
        <w:t xml:space="preserve">simple </w:t>
      </w:r>
      <w:r w:rsidR="00685067">
        <w:rPr>
          <w:rFonts w:ascii="Times New Roman" w:hAnsi="Times New Roman" w:cs="Times New Roman"/>
          <w:shd w:val="clear" w:color="auto" w:fill="FFFFFF"/>
          <w:lang w:val="en-CA"/>
        </w:rPr>
        <w:t xml:space="preserve">regression models </w:t>
      </w:r>
      <w:r w:rsidR="00135B3B">
        <w:rPr>
          <w:rFonts w:ascii="Times New Roman" w:hAnsi="Times New Roman" w:cs="Times New Roman"/>
          <w:shd w:val="clear" w:color="auto" w:fill="FFFFFF"/>
          <w:lang w:val="en-CA"/>
        </w:rPr>
        <w:t xml:space="preserve">estimating the respective effects of </w:t>
      </w:r>
      <w:r w:rsidR="000A6CAF">
        <w:rPr>
          <w:rFonts w:ascii="Times New Roman" w:hAnsi="Times New Roman" w:cs="Times New Roman"/>
          <w:shd w:val="clear" w:color="auto" w:fill="FFFFFF"/>
          <w:lang w:val="en-CA"/>
        </w:rPr>
        <w:t xml:space="preserve">universalism, </w:t>
      </w:r>
      <w:r w:rsidR="00135B3B">
        <w:rPr>
          <w:rFonts w:ascii="Times New Roman" w:hAnsi="Times New Roman" w:cs="Times New Roman"/>
          <w:shd w:val="clear" w:color="auto" w:fill="FFFFFF"/>
          <w:lang w:val="en-CA"/>
        </w:rPr>
        <w:t>social expenditures and pro-poor targeting on</w:t>
      </w:r>
      <w:r w:rsidR="00685067">
        <w:rPr>
          <w:rFonts w:ascii="Times New Roman" w:hAnsi="Times New Roman" w:cs="Times New Roman"/>
          <w:shd w:val="clear" w:color="auto" w:fill="FFFFFF"/>
          <w:lang w:val="en-CA"/>
        </w:rPr>
        <w:t xml:space="preserve"> redistribution.</w:t>
      </w:r>
      <w:r w:rsidR="00AF22FD">
        <w:rPr>
          <w:rFonts w:ascii="Times New Roman" w:hAnsi="Times New Roman" w:cs="Times New Roman"/>
          <w:shd w:val="clear" w:color="auto" w:fill="FFFFFF"/>
          <w:lang w:val="en-CA"/>
        </w:rPr>
        <w:t xml:space="preserve"> </w:t>
      </w:r>
      <w:r w:rsidR="004F561A">
        <w:rPr>
          <w:rFonts w:ascii="Times New Roman" w:hAnsi="Times New Roman" w:cs="Times New Roman"/>
          <w:shd w:val="clear" w:color="auto" w:fill="FFFFFF"/>
          <w:lang w:val="en-CA"/>
        </w:rPr>
        <w:t>As can be seen</w:t>
      </w:r>
      <w:r w:rsidR="00135B3B">
        <w:rPr>
          <w:rFonts w:ascii="Times New Roman" w:hAnsi="Times New Roman" w:cs="Times New Roman"/>
          <w:shd w:val="clear" w:color="auto" w:fill="FFFFFF"/>
          <w:lang w:val="en-CA"/>
        </w:rPr>
        <w:t xml:space="preserve"> already</w:t>
      </w:r>
      <w:r w:rsidR="004F561A">
        <w:rPr>
          <w:rFonts w:ascii="Times New Roman" w:hAnsi="Times New Roman" w:cs="Times New Roman"/>
          <w:shd w:val="clear" w:color="auto" w:fill="FFFFFF"/>
          <w:lang w:val="en-CA"/>
        </w:rPr>
        <w:t xml:space="preserve"> in</w:t>
      </w:r>
      <w:r w:rsidR="00685067">
        <w:rPr>
          <w:rFonts w:ascii="Times New Roman" w:hAnsi="Times New Roman" w:cs="Times New Roman"/>
          <w:shd w:val="clear" w:color="auto" w:fill="FFFFFF"/>
          <w:lang w:val="en-CA"/>
        </w:rPr>
        <w:t xml:space="preserve"> Table 1, </w:t>
      </w:r>
      <w:r w:rsidR="000A6CAF">
        <w:rPr>
          <w:rFonts w:ascii="Times New Roman" w:hAnsi="Times New Roman" w:cs="Times New Roman"/>
          <w:shd w:val="clear" w:color="auto" w:fill="FFFFFF"/>
          <w:lang w:val="en-CA"/>
        </w:rPr>
        <w:t xml:space="preserve">universalism and </w:t>
      </w:r>
      <w:r w:rsidR="00685067">
        <w:rPr>
          <w:rFonts w:ascii="Times New Roman" w:hAnsi="Times New Roman" w:cs="Times New Roman"/>
          <w:shd w:val="clear" w:color="auto" w:fill="FFFFFF"/>
          <w:lang w:val="en-CA"/>
        </w:rPr>
        <w:t>social expenditur</w:t>
      </w:r>
      <w:r w:rsidR="00135B3B">
        <w:rPr>
          <w:rFonts w:ascii="Times New Roman" w:hAnsi="Times New Roman" w:cs="Times New Roman"/>
          <w:shd w:val="clear" w:color="auto" w:fill="FFFFFF"/>
          <w:lang w:val="en-CA"/>
        </w:rPr>
        <w:t>es (model</w:t>
      </w:r>
      <w:r w:rsidR="000A6CAF">
        <w:rPr>
          <w:rFonts w:ascii="Times New Roman" w:hAnsi="Times New Roman" w:cs="Times New Roman"/>
          <w:shd w:val="clear" w:color="auto" w:fill="FFFFFF"/>
          <w:lang w:val="en-CA"/>
        </w:rPr>
        <w:t>s</w:t>
      </w:r>
      <w:r w:rsidR="00135B3B">
        <w:rPr>
          <w:rFonts w:ascii="Times New Roman" w:hAnsi="Times New Roman" w:cs="Times New Roman"/>
          <w:shd w:val="clear" w:color="auto" w:fill="FFFFFF"/>
          <w:lang w:val="en-CA"/>
        </w:rPr>
        <w:t xml:space="preserve"> 1</w:t>
      </w:r>
      <w:r w:rsidR="000A6CAF">
        <w:rPr>
          <w:rFonts w:ascii="Times New Roman" w:hAnsi="Times New Roman" w:cs="Times New Roman"/>
          <w:shd w:val="clear" w:color="auto" w:fill="FFFFFF"/>
          <w:lang w:val="en-CA"/>
        </w:rPr>
        <w:t xml:space="preserve"> and 2</w:t>
      </w:r>
      <w:r w:rsidR="00685067">
        <w:rPr>
          <w:rFonts w:ascii="Times New Roman" w:hAnsi="Times New Roman" w:cs="Times New Roman"/>
          <w:shd w:val="clear" w:color="auto" w:fill="FFFFFF"/>
          <w:lang w:val="en-CA"/>
        </w:rPr>
        <w:t xml:space="preserve">) </w:t>
      </w:r>
      <w:r w:rsidR="00A82145">
        <w:rPr>
          <w:rFonts w:ascii="Times New Roman" w:hAnsi="Times New Roman" w:cs="Times New Roman"/>
          <w:shd w:val="clear" w:color="auto" w:fill="FFFFFF"/>
          <w:lang w:val="en-CA"/>
        </w:rPr>
        <w:t xml:space="preserve">have </w:t>
      </w:r>
      <w:r w:rsidR="00135B3B">
        <w:rPr>
          <w:rFonts w:ascii="Times New Roman" w:hAnsi="Times New Roman" w:cs="Times New Roman"/>
          <w:shd w:val="clear" w:color="auto" w:fill="FFFFFF"/>
          <w:lang w:val="en-CA"/>
        </w:rPr>
        <w:t xml:space="preserve">a </w:t>
      </w:r>
      <w:r w:rsidR="00A82145">
        <w:rPr>
          <w:rFonts w:ascii="Times New Roman" w:hAnsi="Times New Roman" w:cs="Times New Roman"/>
          <w:shd w:val="clear" w:color="auto" w:fill="FFFFFF"/>
          <w:lang w:val="en-CA"/>
        </w:rPr>
        <w:t xml:space="preserve">significant </w:t>
      </w:r>
      <w:r w:rsidR="00135B3B">
        <w:rPr>
          <w:rFonts w:ascii="Times New Roman" w:hAnsi="Times New Roman" w:cs="Times New Roman"/>
          <w:shd w:val="clear" w:color="auto" w:fill="FFFFFF"/>
          <w:lang w:val="en-CA"/>
        </w:rPr>
        <w:t>impact</w:t>
      </w:r>
      <w:r w:rsidR="00A82145">
        <w:rPr>
          <w:rFonts w:ascii="Times New Roman" w:hAnsi="Times New Roman" w:cs="Times New Roman"/>
          <w:shd w:val="clear" w:color="auto" w:fill="FFFFFF"/>
          <w:lang w:val="en-CA"/>
        </w:rPr>
        <w:t xml:space="preserve"> on redistribution, whereas the concentration coefficient of transfers</w:t>
      </w:r>
      <w:r w:rsidR="00135B3B">
        <w:rPr>
          <w:rFonts w:ascii="Times New Roman" w:hAnsi="Times New Roman" w:cs="Times New Roman"/>
          <w:shd w:val="clear" w:color="auto" w:fill="FFFFFF"/>
          <w:lang w:val="en-CA"/>
        </w:rPr>
        <w:t xml:space="preserve"> does not (model </w:t>
      </w:r>
      <w:r w:rsidR="000A6CAF">
        <w:rPr>
          <w:rFonts w:ascii="Times New Roman" w:hAnsi="Times New Roman" w:cs="Times New Roman"/>
          <w:shd w:val="clear" w:color="auto" w:fill="FFFFFF"/>
          <w:lang w:val="en-CA"/>
        </w:rPr>
        <w:t>3</w:t>
      </w:r>
      <w:r w:rsidR="00135B3B">
        <w:rPr>
          <w:rFonts w:ascii="Times New Roman" w:hAnsi="Times New Roman" w:cs="Times New Roman"/>
          <w:shd w:val="clear" w:color="auto" w:fill="FFFFFF"/>
          <w:lang w:val="en-CA"/>
        </w:rPr>
        <w:t>)</w:t>
      </w:r>
      <w:r w:rsidR="00A82145">
        <w:rPr>
          <w:rFonts w:ascii="Times New Roman" w:hAnsi="Times New Roman" w:cs="Times New Roman"/>
          <w:shd w:val="clear" w:color="auto" w:fill="FFFFFF"/>
          <w:lang w:val="en-CA"/>
        </w:rPr>
        <w:t>. When</w:t>
      </w:r>
      <w:r w:rsidR="000A6CAF">
        <w:rPr>
          <w:rFonts w:ascii="Times New Roman" w:hAnsi="Times New Roman" w:cs="Times New Roman"/>
          <w:shd w:val="clear" w:color="auto" w:fill="FFFFFF"/>
          <w:lang w:val="en-CA"/>
        </w:rPr>
        <w:t xml:space="preserve"> universalism or</w:t>
      </w:r>
      <w:r w:rsidR="00A82145">
        <w:rPr>
          <w:rFonts w:ascii="Times New Roman" w:hAnsi="Times New Roman" w:cs="Times New Roman"/>
          <w:shd w:val="clear" w:color="auto" w:fill="FFFFFF"/>
          <w:lang w:val="en-CA"/>
        </w:rPr>
        <w:t xml:space="preserve"> </w:t>
      </w:r>
      <w:r w:rsidR="00C756C4">
        <w:rPr>
          <w:rFonts w:ascii="Times New Roman" w:hAnsi="Times New Roman" w:cs="Times New Roman"/>
          <w:lang w:val="en-CA"/>
        </w:rPr>
        <w:t>the size of the social budget</w:t>
      </w:r>
      <w:r w:rsidR="009C6DB0">
        <w:rPr>
          <w:rFonts w:ascii="Times New Roman" w:hAnsi="Times New Roman" w:cs="Times New Roman"/>
          <w:lang w:val="en-CA"/>
        </w:rPr>
        <w:t xml:space="preserve"> </w:t>
      </w:r>
      <w:r w:rsidR="000A6CAF">
        <w:rPr>
          <w:rFonts w:ascii="Times New Roman" w:hAnsi="Times New Roman" w:cs="Times New Roman"/>
          <w:lang w:val="en-CA"/>
        </w:rPr>
        <w:t>are</w:t>
      </w:r>
      <w:r w:rsidR="004F561A">
        <w:rPr>
          <w:rFonts w:ascii="Times New Roman" w:hAnsi="Times New Roman" w:cs="Times New Roman"/>
          <w:lang w:val="en-CA"/>
        </w:rPr>
        <w:t xml:space="preserve"> held</w:t>
      </w:r>
      <w:r w:rsidR="00C756C4">
        <w:rPr>
          <w:rFonts w:ascii="Times New Roman" w:hAnsi="Times New Roman" w:cs="Times New Roman"/>
          <w:lang w:val="en-CA"/>
        </w:rPr>
        <w:t xml:space="preserve"> constant</w:t>
      </w:r>
      <w:r w:rsidR="00A82145">
        <w:rPr>
          <w:rFonts w:ascii="Times New Roman" w:hAnsi="Times New Roman" w:cs="Times New Roman"/>
          <w:lang w:val="en-CA"/>
        </w:rPr>
        <w:t>, however</w:t>
      </w:r>
      <w:r w:rsidR="009C6DB0">
        <w:rPr>
          <w:rFonts w:ascii="Times New Roman" w:hAnsi="Times New Roman" w:cs="Times New Roman"/>
          <w:lang w:val="en-CA"/>
        </w:rPr>
        <w:t xml:space="preserve">, </w:t>
      </w:r>
      <w:r w:rsidR="00E20467">
        <w:rPr>
          <w:rFonts w:ascii="Times New Roman" w:hAnsi="Times New Roman" w:cs="Times New Roman"/>
          <w:lang w:val="en-CA"/>
        </w:rPr>
        <w:t xml:space="preserve">as </w:t>
      </w:r>
      <w:r w:rsidR="009C6DB0">
        <w:rPr>
          <w:rFonts w:ascii="Times New Roman" w:hAnsi="Times New Roman" w:cs="Times New Roman"/>
          <w:lang w:val="en-CA"/>
        </w:rPr>
        <w:t>in model</w:t>
      </w:r>
      <w:r w:rsidR="000A6CAF">
        <w:rPr>
          <w:rFonts w:ascii="Times New Roman" w:hAnsi="Times New Roman" w:cs="Times New Roman"/>
          <w:lang w:val="en-CA"/>
        </w:rPr>
        <w:t>s</w:t>
      </w:r>
      <w:r w:rsidR="00135B3B">
        <w:rPr>
          <w:rFonts w:ascii="Times New Roman" w:hAnsi="Times New Roman" w:cs="Times New Roman"/>
          <w:lang w:val="en-CA"/>
        </w:rPr>
        <w:t xml:space="preserve"> </w:t>
      </w:r>
      <w:r w:rsidR="000A6CAF">
        <w:rPr>
          <w:rFonts w:ascii="Times New Roman" w:hAnsi="Times New Roman" w:cs="Times New Roman"/>
          <w:lang w:val="en-CA"/>
        </w:rPr>
        <w:t>4 and 5</w:t>
      </w:r>
      <w:r w:rsidR="00C756C4">
        <w:rPr>
          <w:rFonts w:ascii="Times New Roman" w:hAnsi="Times New Roman" w:cs="Times New Roman"/>
          <w:lang w:val="en-CA"/>
        </w:rPr>
        <w:t xml:space="preserve">, concentration coefficients </w:t>
      </w:r>
      <w:r w:rsidR="00135B3B">
        <w:rPr>
          <w:rFonts w:ascii="Times New Roman" w:hAnsi="Times New Roman" w:cs="Times New Roman"/>
          <w:lang w:val="en-CA"/>
        </w:rPr>
        <w:t xml:space="preserve">display </w:t>
      </w:r>
      <w:r w:rsidR="00C756C4">
        <w:rPr>
          <w:rFonts w:ascii="Times New Roman" w:hAnsi="Times New Roman" w:cs="Times New Roman"/>
          <w:lang w:val="en-CA"/>
        </w:rPr>
        <w:t xml:space="preserve">a significant </w:t>
      </w:r>
      <w:r w:rsidR="00A82145">
        <w:rPr>
          <w:rFonts w:ascii="Times New Roman" w:hAnsi="Times New Roman" w:cs="Times New Roman"/>
          <w:lang w:val="en-CA"/>
        </w:rPr>
        <w:t xml:space="preserve">effect </w:t>
      </w:r>
      <w:r w:rsidR="00C756C4">
        <w:rPr>
          <w:rFonts w:ascii="Times New Roman" w:hAnsi="Times New Roman" w:cs="Times New Roman"/>
          <w:lang w:val="en-CA"/>
        </w:rPr>
        <w:t>on redistribution</w:t>
      </w:r>
      <w:r w:rsidR="00A82145">
        <w:rPr>
          <w:rFonts w:ascii="Times New Roman" w:hAnsi="Times New Roman" w:cs="Times New Roman"/>
          <w:lang w:val="en-CA"/>
        </w:rPr>
        <w:t>, in the expected direction</w:t>
      </w:r>
      <w:r w:rsidR="00C756C4">
        <w:rPr>
          <w:rFonts w:ascii="Times New Roman" w:hAnsi="Times New Roman" w:cs="Times New Roman"/>
          <w:lang w:val="en-CA"/>
        </w:rPr>
        <w:t>.</w:t>
      </w:r>
      <w:r w:rsidR="00C0435F">
        <w:rPr>
          <w:rFonts w:ascii="Times New Roman" w:hAnsi="Times New Roman" w:cs="Times New Roman"/>
          <w:lang w:val="en-CA"/>
        </w:rPr>
        <w:t xml:space="preserve"> </w:t>
      </w:r>
      <w:r w:rsidR="00B77110">
        <w:rPr>
          <w:rFonts w:ascii="Times New Roman" w:hAnsi="Times New Roman" w:cs="Times New Roman"/>
          <w:shd w:val="clear" w:color="auto" w:fill="FFFFFF"/>
          <w:lang w:val="en-CA"/>
        </w:rPr>
        <w:lastRenderedPageBreak/>
        <w:t xml:space="preserve">Universalism, </w:t>
      </w:r>
      <w:r w:rsidR="00F7304D">
        <w:rPr>
          <w:rFonts w:ascii="Times New Roman" w:hAnsi="Times New Roman" w:cs="Times New Roman"/>
          <w:shd w:val="clear" w:color="auto" w:fill="FFFFFF"/>
          <w:lang w:val="en-CA"/>
        </w:rPr>
        <w:t>and</w:t>
      </w:r>
      <w:r w:rsidR="00B77110">
        <w:rPr>
          <w:rFonts w:ascii="Times New Roman" w:hAnsi="Times New Roman" w:cs="Times New Roman"/>
          <w:shd w:val="clear" w:color="auto" w:fill="FFFFFF"/>
          <w:lang w:val="en-CA"/>
        </w:rPr>
        <w:t xml:space="preserve"> more directly t</w:t>
      </w:r>
      <w:r w:rsidR="005D55E3">
        <w:rPr>
          <w:rFonts w:ascii="Times New Roman" w:hAnsi="Times New Roman" w:cs="Times New Roman"/>
          <w:shd w:val="clear" w:color="auto" w:fill="FFFFFF"/>
          <w:lang w:val="en-CA"/>
        </w:rPr>
        <w:t>he size of the social budget</w:t>
      </w:r>
      <w:r w:rsidR="00135B3B">
        <w:rPr>
          <w:rFonts w:ascii="Times New Roman" w:hAnsi="Times New Roman" w:cs="Times New Roman"/>
          <w:shd w:val="clear" w:color="auto" w:fill="FFFFFF"/>
          <w:lang w:val="en-CA"/>
        </w:rPr>
        <w:t xml:space="preserve">, </w:t>
      </w:r>
      <w:r w:rsidR="00A82145">
        <w:rPr>
          <w:rFonts w:ascii="Times New Roman" w:hAnsi="Times New Roman" w:cs="Times New Roman"/>
          <w:shd w:val="clear" w:color="auto" w:fill="FFFFFF"/>
          <w:lang w:val="en-CA"/>
        </w:rPr>
        <w:t>work</w:t>
      </w:r>
      <w:r w:rsidR="00F7304D">
        <w:rPr>
          <w:rFonts w:ascii="Times New Roman" w:hAnsi="Times New Roman" w:cs="Times New Roman"/>
          <w:shd w:val="clear" w:color="auto" w:fill="FFFFFF"/>
          <w:lang w:val="en-CA"/>
        </w:rPr>
        <w:t>s</w:t>
      </w:r>
      <w:r w:rsidR="00A82145">
        <w:rPr>
          <w:rFonts w:ascii="Times New Roman" w:hAnsi="Times New Roman" w:cs="Times New Roman"/>
          <w:shd w:val="clear" w:color="auto" w:fill="FFFFFF"/>
          <w:lang w:val="en-CA"/>
        </w:rPr>
        <w:t xml:space="preserve"> with pro-poor transfers to facilitate redistribut</w:t>
      </w:r>
      <w:r w:rsidR="00D61E75">
        <w:rPr>
          <w:rFonts w:ascii="Times New Roman" w:hAnsi="Times New Roman" w:cs="Times New Roman"/>
          <w:shd w:val="clear" w:color="auto" w:fill="FFFFFF"/>
          <w:lang w:val="en-CA"/>
        </w:rPr>
        <w:t>ion</w:t>
      </w:r>
      <w:r w:rsidR="00D438E5">
        <w:rPr>
          <w:rFonts w:ascii="Times New Roman" w:hAnsi="Times New Roman" w:cs="Times New Roman"/>
          <w:shd w:val="clear" w:color="auto" w:fill="FFFFFF"/>
          <w:lang w:val="en-CA"/>
        </w:rPr>
        <w:t xml:space="preserve">, </w:t>
      </w:r>
      <w:r w:rsidR="00420493">
        <w:rPr>
          <w:rFonts w:ascii="Times New Roman" w:hAnsi="Times New Roman" w:cs="Times New Roman"/>
          <w:shd w:val="clear" w:color="auto" w:fill="FFFFFF"/>
          <w:lang w:val="en-CA"/>
        </w:rPr>
        <w:t xml:space="preserve">with </w:t>
      </w:r>
      <w:r w:rsidR="00D438E5">
        <w:rPr>
          <w:rFonts w:ascii="Times New Roman" w:hAnsi="Times New Roman" w:cs="Times New Roman"/>
          <w:shd w:val="clear" w:color="auto" w:fill="FFFFFF"/>
          <w:lang w:val="en-CA"/>
        </w:rPr>
        <w:t xml:space="preserve">the impact of </w:t>
      </w:r>
      <w:r w:rsidR="00D61E75">
        <w:rPr>
          <w:rFonts w:ascii="Times New Roman" w:hAnsi="Times New Roman" w:cs="Times New Roman"/>
          <w:shd w:val="clear" w:color="auto" w:fill="FFFFFF"/>
          <w:lang w:val="en-CA"/>
        </w:rPr>
        <w:t>social expenditures</w:t>
      </w:r>
      <w:r w:rsidR="00420493">
        <w:rPr>
          <w:rFonts w:ascii="Times New Roman" w:hAnsi="Times New Roman" w:cs="Times New Roman"/>
          <w:shd w:val="clear" w:color="auto" w:fill="FFFFFF"/>
          <w:lang w:val="en-CA"/>
        </w:rPr>
        <w:t xml:space="preserve"> about twice as</w:t>
      </w:r>
      <w:r w:rsidR="00D61E75" w:rsidRPr="00D61E75">
        <w:rPr>
          <w:rFonts w:ascii="Times New Roman" w:hAnsi="Times New Roman" w:cs="Times New Roman"/>
          <w:shd w:val="clear" w:color="auto" w:fill="FFFFFF"/>
          <w:lang w:val="en-CA"/>
        </w:rPr>
        <w:t xml:space="preserve"> </w:t>
      </w:r>
      <w:r w:rsidR="00420493">
        <w:rPr>
          <w:rFonts w:ascii="Times New Roman" w:hAnsi="Times New Roman" w:cs="Times New Roman"/>
          <w:shd w:val="clear" w:color="auto" w:fill="FFFFFF"/>
          <w:lang w:val="en-CA"/>
        </w:rPr>
        <w:t>large</w:t>
      </w:r>
      <w:r w:rsidR="004210FE">
        <w:rPr>
          <w:rFonts w:ascii="Times New Roman" w:hAnsi="Times New Roman" w:cs="Times New Roman"/>
          <w:shd w:val="clear" w:color="auto" w:fill="FFFFFF"/>
          <w:lang w:val="en-CA"/>
        </w:rPr>
        <w:t xml:space="preserve"> </w:t>
      </w:r>
      <w:r w:rsidR="00420493">
        <w:rPr>
          <w:rFonts w:ascii="Times New Roman" w:hAnsi="Times New Roman" w:cs="Times New Roman"/>
          <w:shd w:val="clear" w:color="auto" w:fill="FFFFFF"/>
          <w:lang w:val="en-CA"/>
        </w:rPr>
        <w:t>as</w:t>
      </w:r>
      <w:r w:rsidR="004210FE">
        <w:rPr>
          <w:rFonts w:ascii="Times New Roman" w:hAnsi="Times New Roman" w:cs="Times New Roman"/>
          <w:shd w:val="clear" w:color="auto" w:fill="FFFFFF"/>
          <w:lang w:val="en-CA"/>
        </w:rPr>
        <w:t xml:space="preserve"> that of pro-poorness</w:t>
      </w:r>
      <w:r w:rsidR="00D61E75">
        <w:rPr>
          <w:rFonts w:ascii="Times New Roman" w:hAnsi="Times New Roman" w:cs="Times New Roman"/>
          <w:shd w:val="clear" w:color="auto" w:fill="FFFFFF"/>
          <w:lang w:val="en-CA"/>
        </w:rPr>
        <w:t>, as indicated by the standardized coefficients</w:t>
      </w:r>
      <w:r w:rsidR="00E20467">
        <w:rPr>
          <w:rFonts w:ascii="Times New Roman" w:hAnsi="Times New Roman" w:cs="Times New Roman"/>
          <w:shd w:val="clear" w:color="auto" w:fill="FFFFFF"/>
          <w:lang w:val="en-CA"/>
        </w:rPr>
        <w:t xml:space="preserve"> (0.98 and -0.49)</w:t>
      </w:r>
      <w:r w:rsidR="00D438E5">
        <w:rPr>
          <w:rFonts w:ascii="Times New Roman" w:hAnsi="Times New Roman" w:cs="Times New Roman"/>
          <w:shd w:val="clear" w:color="auto" w:fill="FFFFFF"/>
          <w:lang w:val="en-CA"/>
        </w:rPr>
        <w:t>.</w:t>
      </w:r>
      <w:r w:rsidR="002F4171" w:rsidRPr="002F4171">
        <w:rPr>
          <w:rFonts w:ascii="Times New Roman" w:hAnsi="Times New Roman" w:cs="Times New Roman"/>
          <w:shd w:val="clear" w:color="auto" w:fill="FFFFFF"/>
          <w:lang w:val="en-CA"/>
        </w:rPr>
        <w:t xml:space="preserve"> </w:t>
      </w:r>
      <w:r w:rsidR="002F4171">
        <w:rPr>
          <w:rFonts w:ascii="Times New Roman" w:hAnsi="Times New Roman" w:cs="Times New Roman"/>
          <w:shd w:val="clear" w:color="auto" w:fill="FFFFFF"/>
          <w:lang w:val="en-CA"/>
        </w:rPr>
        <w:t xml:space="preserve">While targeting alone does little for </w:t>
      </w:r>
      <w:r w:rsidR="002F4171">
        <w:rPr>
          <w:rFonts w:ascii="Times New Roman" w:hAnsi="Times New Roman" w:cs="Times New Roman"/>
          <w:lang w:val="en-CA"/>
        </w:rPr>
        <w:t>redistribution, targeting within universalism appears effective</w:t>
      </w:r>
      <w:r w:rsidR="00D54CFD">
        <w:rPr>
          <w:rFonts w:ascii="Times New Roman" w:hAnsi="Times New Roman" w:cs="Times New Roman"/>
          <w:lang w:val="en-CA"/>
        </w:rPr>
        <w:t xml:space="preserve"> (</w:t>
      </w:r>
      <w:r w:rsidR="004210FE">
        <w:rPr>
          <w:rFonts w:ascii="Times New Roman" w:hAnsi="Times New Roman" w:cs="Times New Roman"/>
          <w:lang w:val="en-CA"/>
        </w:rPr>
        <w:t>T</w:t>
      </w:r>
      <w:r w:rsidR="00D54CFD">
        <w:rPr>
          <w:rFonts w:ascii="Times New Roman" w:hAnsi="Times New Roman" w:cs="Times New Roman"/>
          <w:lang w:val="en-CA"/>
        </w:rPr>
        <w:t>able</w:t>
      </w:r>
      <w:r w:rsidR="004210FE">
        <w:rPr>
          <w:rFonts w:ascii="Times New Roman" w:hAnsi="Times New Roman" w:cs="Times New Roman"/>
          <w:lang w:val="en-CA"/>
        </w:rPr>
        <w:t>s</w:t>
      </w:r>
      <w:r w:rsidR="0078177D">
        <w:rPr>
          <w:rFonts w:ascii="Times New Roman" w:hAnsi="Times New Roman" w:cs="Times New Roman"/>
          <w:lang w:val="en-CA"/>
        </w:rPr>
        <w:t xml:space="preserve"> A5</w:t>
      </w:r>
      <w:r w:rsidR="004210FE">
        <w:rPr>
          <w:rFonts w:ascii="Times New Roman" w:hAnsi="Times New Roman" w:cs="Times New Roman"/>
          <w:lang w:val="en-CA"/>
        </w:rPr>
        <w:t>,</w:t>
      </w:r>
      <w:r w:rsidR="00D54CFD">
        <w:rPr>
          <w:rFonts w:ascii="Times New Roman" w:hAnsi="Times New Roman" w:cs="Times New Roman"/>
          <w:lang w:val="en-CA"/>
        </w:rPr>
        <w:t xml:space="preserve"> A</w:t>
      </w:r>
      <w:r w:rsidR="0078177D">
        <w:rPr>
          <w:rFonts w:ascii="Times New Roman" w:hAnsi="Times New Roman" w:cs="Times New Roman"/>
          <w:lang w:val="en-CA"/>
        </w:rPr>
        <w:t>6</w:t>
      </w:r>
      <w:r w:rsidR="004210FE">
        <w:rPr>
          <w:rFonts w:ascii="Times New Roman" w:hAnsi="Times New Roman" w:cs="Times New Roman"/>
          <w:lang w:val="en-CA"/>
        </w:rPr>
        <w:t>,</w:t>
      </w:r>
      <w:r w:rsidR="00D54CFD">
        <w:rPr>
          <w:rFonts w:ascii="Times New Roman" w:hAnsi="Times New Roman" w:cs="Times New Roman"/>
          <w:lang w:val="en-CA"/>
        </w:rPr>
        <w:t xml:space="preserve"> and A</w:t>
      </w:r>
      <w:r w:rsidR="0078177D">
        <w:rPr>
          <w:rFonts w:ascii="Times New Roman" w:hAnsi="Times New Roman" w:cs="Times New Roman"/>
          <w:lang w:val="en-CA"/>
        </w:rPr>
        <w:t>7</w:t>
      </w:r>
      <w:r w:rsidR="00D54CFD">
        <w:rPr>
          <w:rFonts w:ascii="Times New Roman" w:hAnsi="Times New Roman" w:cs="Times New Roman"/>
          <w:lang w:val="en-CA"/>
        </w:rPr>
        <w:t xml:space="preserve"> in the onli</w:t>
      </w:r>
      <w:r w:rsidR="004210FE">
        <w:rPr>
          <w:rFonts w:ascii="Times New Roman" w:hAnsi="Times New Roman" w:cs="Times New Roman"/>
          <w:lang w:val="en-CA"/>
        </w:rPr>
        <w:t>ne</w:t>
      </w:r>
      <w:r w:rsidR="00D54CFD">
        <w:rPr>
          <w:rFonts w:ascii="Times New Roman" w:hAnsi="Times New Roman" w:cs="Times New Roman"/>
          <w:lang w:val="en-CA"/>
        </w:rPr>
        <w:t xml:space="preserve"> appendix </w:t>
      </w:r>
      <w:r w:rsidR="004210FE">
        <w:rPr>
          <w:rFonts w:ascii="Times New Roman" w:hAnsi="Times New Roman" w:cs="Times New Roman"/>
          <w:lang w:val="en-CA"/>
        </w:rPr>
        <w:t>present detailed results for redistribution,</w:t>
      </w:r>
      <w:r w:rsidR="00D54CFD">
        <w:rPr>
          <w:rFonts w:ascii="Times New Roman" w:hAnsi="Times New Roman" w:cs="Times New Roman"/>
          <w:lang w:val="en-CA"/>
        </w:rPr>
        <w:t xml:space="preserve"> poverty reduction</w:t>
      </w:r>
      <w:r w:rsidR="00420493">
        <w:rPr>
          <w:rFonts w:ascii="Times New Roman" w:hAnsi="Times New Roman" w:cs="Times New Roman"/>
          <w:lang w:val="en-CA"/>
        </w:rPr>
        <w:t>,</w:t>
      </w:r>
      <w:r w:rsidR="00D54CFD">
        <w:rPr>
          <w:rFonts w:ascii="Times New Roman" w:hAnsi="Times New Roman" w:cs="Times New Roman"/>
          <w:lang w:val="en-CA"/>
        </w:rPr>
        <w:t xml:space="preserve"> and</w:t>
      </w:r>
      <w:r w:rsidR="004210FE">
        <w:rPr>
          <w:rFonts w:ascii="Times New Roman" w:hAnsi="Times New Roman" w:cs="Times New Roman"/>
          <w:lang w:val="en-CA"/>
        </w:rPr>
        <w:t xml:space="preserve"> </w:t>
      </w:r>
      <w:r w:rsidR="00D54CFD">
        <w:rPr>
          <w:rFonts w:ascii="Times New Roman" w:hAnsi="Times New Roman" w:cs="Times New Roman"/>
          <w:lang w:val="en-CA"/>
        </w:rPr>
        <w:t>inequalit</w:t>
      </w:r>
      <w:r w:rsidR="004210FE">
        <w:rPr>
          <w:rFonts w:ascii="Times New Roman" w:hAnsi="Times New Roman" w:cs="Times New Roman"/>
          <w:lang w:val="en-CA"/>
        </w:rPr>
        <w:t>y</w:t>
      </w:r>
      <w:r w:rsidR="00D54CFD">
        <w:rPr>
          <w:rFonts w:ascii="Times New Roman" w:hAnsi="Times New Roman" w:cs="Times New Roman"/>
          <w:lang w:val="en-CA"/>
        </w:rPr>
        <w:t>)</w:t>
      </w:r>
      <w:r w:rsidR="002F4171">
        <w:rPr>
          <w:rFonts w:ascii="Times New Roman" w:hAnsi="Times New Roman" w:cs="Times New Roman"/>
          <w:lang w:val="en-CA"/>
        </w:rPr>
        <w:t>.</w:t>
      </w:r>
      <w:r w:rsidR="00D438E5">
        <w:rPr>
          <w:rFonts w:ascii="Times New Roman" w:hAnsi="Times New Roman" w:cs="Times New Roman"/>
          <w:shd w:val="clear" w:color="auto" w:fill="FFFFFF"/>
          <w:lang w:val="en-CA"/>
        </w:rPr>
        <w:t xml:space="preserve"> </w:t>
      </w:r>
      <w:r w:rsidR="002F4171">
        <w:rPr>
          <w:rFonts w:ascii="Times New Roman" w:hAnsi="Times New Roman" w:cs="Times New Roman"/>
          <w:shd w:val="clear" w:color="auto" w:fill="FFFFFF"/>
          <w:lang w:val="en-CA"/>
        </w:rPr>
        <w:t>For a similar level of</w:t>
      </w:r>
      <w:r w:rsidR="004210FE">
        <w:rPr>
          <w:rFonts w:ascii="Times New Roman" w:hAnsi="Times New Roman" w:cs="Times New Roman"/>
          <w:shd w:val="clear" w:color="auto" w:fill="FFFFFF"/>
          <w:lang w:val="en-CA"/>
        </w:rPr>
        <w:t xml:space="preserve"> universalism and of</w:t>
      </w:r>
      <w:r w:rsidR="002F4171">
        <w:rPr>
          <w:rFonts w:ascii="Times New Roman" w:hAnsi="Times New Roman" w:cs="Times New Roman"/>
          <w:shd w:val="clear" w:color="auto" w:fill="FFFFFF"/>
          <w:lang w:val="en-CA"/>
        </w:rPr>
        <w:t xml:space="preserve"> social expenditures,</w:t>
      </w:r>
      <w:r w:rsidR="000C57E5">
        <w:rPr>
          <w:rFonts w:ascii="Times New Roman" w:hAnsi="Times New Roman" w:cs="Times New Roman"/>
          <w:shd w:val="clear" w:color="auto" w:fill="FFFFFF"/>
          <w:lang w:val="en-CA"/>
        </w:rPr>
        <w:t xml:space="preserve"> for instance,</w:t>
      </w:r>
      <w:r w:rsidR="002F4171">
        <w:rPr>
          <w:rFonts w:ascii="Times New Roman" w:hAnsi="Times New Roman" w:cs="Times New Roman"/>
          <w:shd w:val="clear" w:color="auto" w:fill="FFFFFF"/>
          <w:lang w:val="en-CA"/>
        </w:rPr>
        <w:t xml:space="preserve"> </w:t>
      </w:r>
      <w:r w:rsidR="000C57E5">
        <w:rPr>
          <w:rFonts w:ascii="Times New Roman" w:hAnsi="Times New Roman" w:cs="Times New Roman"/>
          <w:shd w:val="clear" w:color="auto" w:fill="FFFFFF"/>
          <w:lang w:val="en-CA"/>
        </w:rPr>
        <w:t>Sweden</w:t>
      </w:r>
      <w:r w:rsidR="002F4171">
        <w:rPr>
          <w:rFonts w:ascii="Times New Roman" w:hAnsi="Times New Roman" w:cs="Times New Roman"/>
          <w:shd w:val="clear" w:color="auto" w:fill="FFFFFF"/>
          <w:lang w:val="en-CA"/>
        </w:rPr>
        <w:t xml:space="preserve"> achieves better redistribution results</w:t>
      </w:r>
      <w:r w:rsidR="000C57E5">
        <w:rPr>
          <w:rFonts w:ascii="Times New Roman" w:hAnsi="Times New Roman" w:cs="Times New Roman"/>
          <w:shd w:val="clear" w:color="auto" w:fill="FFFFFF"/>
          <w:lang w:val="en-CA"/>
        </w:rPr>
        <w:t xml:space="preserve"> than France</w:t>
      </w:r>
      <w:r w:rsidR="002F4171">
        <w:rPr>
          <w:rFonts w:ascii="Times New Roman" w:hAnsi="Times New Roman" w:cs="Times New Roman"/>
          <w:shd w:val="clear" w:color="auto" w:fill="FFFFFF"/>
          <w:lang w:val="en-CA"/>
        </w:rPr>
        <w:t xml:space="preserve"> because its transfers are pro-poor. We can now put together the pieces of the puzzle, to compare and contrast our different cases.</w:t>
      </w:r>
    </w:p>
    <w:p w14:paraId="6D738F2B" w14:textId="77777777" w:rsidR="00F7304D" w:rsidRDefault="00F7304D" w:rsidP="000C57E5">
      <w:pPr>
        <w:spacing w:line="480" w:lineRule="auto"/>
        <w:ind w:firstLine="567"/>
        <w:jc w:val="both"/>
        <w:rPr>
          <w:rFonts w:ascii="Times New Roman" w:hAnsi="Times New Roman" w:cs="Times New Roman"/>
          <w:shd w:val="clear" w:color="auto" w:fill="FFFFFF"/>
          <w:lang w:val="en-CA"/>
        </w:rPr>
      </w:pPr>
    </w:p>
    <w:p w14:paraId="1F07F819" w14:textId="45BFE7CB" w:rsidR="009C6DB0" w:rsidRPr="00741D6F" w:rsidRDefault="009C6DB0" w:rsidP="000A6CAF">
      <w:pPr>
        <w:spacing w:line="480" w:lineRule="auto"/>
        <w:jc w:val="both"/>
        <w:rPr>
          <w:rFonts w:ascii="Times New Roman" w:hAnsi="Times New Roman" w:cs="Times New Roman"/>
          <w:b/>
          <w:shd w:val="clear" w:color="auto" w:fill="FFFFFF"/>
          <w:lang w:val="en-CA"/>
        </w:rPr>
      </w:pPr>
      <w:r w:rsidRPr="00741D6F">
        <w:rPr>
          <w:rFonts w:ascii="Times New Roman" w:hAnsi="Times New Roman" w:cs="Times New Roman"/>
          <w:b/>
          <w:shd w:val="clear" w:color="auto" w:fill="FFFFFF"/>
          <w:lang w:val="en-CA"/>
        </w:rPr>
        <w:t xml:space="preserve">Figure </w:t>
      </w:r>
      <w:r w:rsidR="00522689">
        <w:rPr>
          <w:rFonts w:ascii="Times New Roman" w:hAnsi="Times New Roman" w:cs="Times New Roman"/>
          <w:b/>
          <w:shd w:val="clear" w:color="auto" w:fill="FFFFFF"/>
          <w:lang w:val="en-CA"/>
        </w:rPr>
        <w:t>2</w:t>
      </w:r>
      <w:r w:rsidRPr="00741D6F">
        <w:rPr>
          <w:rFonts w:ascii="Times New Roman" w:hAnsi="Times New Roman" w:cs="Times New Roman"/>
          <w:b/>
          <w:shd w:val="clear" w:color="auto" w:fill="FFFFFF"/>
          <w:lang w:val="en-CA"/>
        </w:rPr>
        <w:t>. Models predicting redistribution, standardized coeffients, 21 OECD countries, mid 2000s</w:t>
      </w:r>
    </w:p>
    <w:p w14:paraId="1CF39A33" w14:textId="1307BD54" w:rsidR="002611D1" w:rsidRDefault="0072134F" w:rsidP="00F4261B">
      <w:pPr>
        <w:spacing w:line="480" w:lineRule="auto"/>
        <w:jc w:val="both"/>
        <w:rPr>
          <w:rFonts w:ascii="Times New Roman" w:hAnsi="Times New Roman" w:cs="Times New Roman"/>
          <w:lang w:val="en-CA"/>
        </w:rPr>
      </w:pPr>
      <w:r w:rsidRPr="0072134F">
        <w:rPr>
          <w:noProof/>
        </w:rPr>
        <w:t xml:space="preserve"> </w:t>
      </w:r>
      <w:r w:rsidRPr="0072134F">
        <w:rPr>
          <w:rFonts w:ascii="Times New Roman" w:hAnsi="Times New Roman" w:cs="Times New Roman"/>
          <w:noProof/>
          <w:lang w:val="en-CA"/>
        </w:rPr>
        <w:drawing>
          <wp:inline distT="0" distB="0" distL="0" distR="0" wp14:anchorId="2F14DFCD" wp14:editId="4EDA86B3">
            <wp:extent cx="5029200" cy="36576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29200" cy="3657600"/>
                    </a:xfrm>
                    <a:prstGeom prst="rect">
                      <a:avLst/>
                    </a:prstGeom>
                  </pic:spPr>
                </pic:pic>
              </a:graphicData>
            </a:graphic>
          </wp:inline>
        </w:drawing>
      </w:r>
    </w:p>
    <w:p w14:paraId="24373D5B" w14:textId="77777777" w:rsidR="00962243" w:rsidRDefault="00962243" w:rsidP="00545801">
      <w:pPr>
        <w:spacing w:line="480" w:lineRule="auto"/>
        <w:jc w:val="both"/>
        <w:rPr>
          <w:rFonts w:ascii="Times New Roman" w:hAnsi="Times New Roman" w:cs="Times New Roman"/>
          <w:shd w:val="clear" w:color="auto" w:fill="FFFFFF"/>
          <w:lang w:val="en-CA"/>
        </w:rPr>
      </w:pPr>
    </w:p>
    <w:p w14:paraId="3A53450C" w14:textId="77777777" w:rsidR="00F7304D" w:rsidRDefault="00F7304D">
      <w:pPr>
        <w:rPr>
          <w:rFonts w:ascii="Times New Roman" w:hAnsi="Times New Roman" w:cs="Times New Roman"/>
          <w:b/>
          <w:shd w:val="clear" w:color="auto" w:fill="FFFFFF"/>
          <w:lang w:val="en-CA"/>
        </w:rPr>
      </w:pPr>
      <w:r>
        <w:rPr>
          <w:rFonts w:ascii="Times New Roman" w:hAnsi="Times New Roman" w:cs="Times New Roman"/>
          <w:b/>
          <w:shd w:val="clear" w:color="auto" w:fill="FFFFFF"/>
          <w:lang w:val="en-CA"/>
        </w:rPr>
        <w:lastRenderedPageBreak/>
        <w:br w:type="page"/>
      </w:r>
    </w:p>
    <w:p w14:paraId="5A934012" w14:textId="4E44A3F8" w:rsidR="00545801" w:rsidRPr="00380B73" w:rsidRDefault="00545801" w:rsidP="004D1F6A">
      <w:pPr>
        <w:spacing w:line="480" w:lineRule="auto"/>
        <w:jc w:val="both"/>
        <w:rPr>
          <w:rFonts w:ascii="Times New Roman" w:hAnsi="Times New Roman" w:cs="Times New Roman"/>
          <w:b/>
          <w:lang w:val="en-CA"/>
        </w:rPr>
      </w:pPr>
      <w:r w:rsidRPr="00380B73">
        <w:rPr>
          <w:rFonts w:ascii="Times New Roman" w:hAnsi="Times New Roman" w:cs="Times New Roman"/>
          <w:b/>
          <w:shd w:val="clear" w:color="auto" w:fill="FFFFFF"/>
          <w:lang w:val="en-CA"/>
        </w:rPr>
        <w:lastRenderedPageBreak/>
        <w:t>4.</w:t>
      </w:r>
      <w:r w:rsidRPr="00380B73">
        <w:rPr>
          <w:rFonts w:ascii="Times New Roman" w:hAnsi="Times New Roman" w:cs="Times New Roman"/>
          <w:b/>
          <w:lang w:val="en-CA"/>
        </w:rPr>
        <w:t xml:space="preserve"> Three </w:t>
      </w:r>
      <w:r w:rsidR="00380B73">
        <w:rPr>
          <w:rFonts w:ascii="Times New Roman" w:hAnsi="Times New Roman" w:cs="Times New Roman"/>
          <w:b/>
          <w:lang w:val="en-CA"/>
        </w:rPr>
        <w:t>variants</w:t>
      </w:r>
      <w:r w:rsidRPr="00380B73">
        <w:rPr>
          <w:rFonts w:ascii="Times New Roman" w:hAnsi="Times New Roman" w:cs="Times New Roman"/>
          <w:b/>
          <w:lang w:val="en-CA"/>
        </w:rPr>
        <w:t xml:space="preserve"> of universalism</w:t>
      </w:r>
    </w:p>
    <w:p w14:paraId="5B6EA1D6" w14:textId="77777777" w:rsidR="00380B73" w:rsidRDefault="00380B73" w:rsidP="00380B73">
      <w:pPr>
        <w:spacing w:line="480" w:lineRule="auto"/>
        <w:jc w:val="both"/>
        <w:rPr>
          <w:rFonts w:ascii="Times New Roman" w:hAnsi="Times New Roman" w:cs="Times New Roman"/>
          <w:lang w:val="en-CA"/>
        </w:rPr>
      </w:pPr>
    </w:p>
    <w:p w14:paraId="6B6F8013" w14:textId="62A34CAA" w:rsidR="00380B73" w:rsidRPr="00333FA2" w:rsidRDefault="00380B73" w:rsidP="00380B73">
      <w:pPr>
        <w:spacing w:line="480" w:lineRule="auto"/>
        <w:ind w:firstLine="708"/>
        <w:jc w:val="both"/>
        <w:rPr>
          <w:rFonts w:ascii="Times New Roman" w:hAnsi="Times New Roman" w:cs="Times New Roman"/>
          <w:lang w:val="en-CA"/>
        </w:rPr>
      </w:pPr>
      <w:r w:rsidRPr="00333FA2">
        <w:rPr>
          <w:rFonts w:ascii="Times New Roman" w:hAnsi="Times New Roman" w:cs="Times New Roman"/>
          <w:lang w:val="en-CA"/>
        </w:rPr>
        <w:t>Welfare states vary along a number of dimensions. They can be more or less universalist or residual, more or less pro-poor, and more or less successful at redistribution and poverty reduction. We know</w:t>
      </w:r>
      <w:r>
        <w:rPr>
          <w:rFonts w:ascii="Times New Roman" w:hAnsi="Times New Roman" w:cs="Times New Roman"/>
          <w:lang w:val="en-CA"/>
        </w:rPr>
        <w:t xml:space="preserve"> </w:t>
      </w:r>
      <w:r w:rsidRPr="00333FA2">
        <w:rPr>
          <w:rFonts w:ascii="Times New Roman" w:hAnsi="Times New Roman" w:cs="Times New Roman"/>
          <w:lang w:val="en-CA"/>
        </w:rPr>
        <w:t>that</w:t>
      </w:r>
      <w:r>
        <w:rPr>
          <w:rFonts w:ascii="Times New Roman" w:hAnsi="Times New Roman" w:cs="Times New Roman"/>
          <w:lang w:val="en-CA"/>
        </w:rPr>
        <w:t xml:space="preserve"> </w:t>
      </w:r>
      <w:r w:rsidRPr="00333FA2">
        <w:rPr>
          <w:rFonts w:ascii="Times New Roman" w:hAnsi="Times New Roman" w:cs="Times New Roman"/>
          <w:lang w:val="en-CA"/>
        </w:rPr>
        <w:t>universalism is favourable to redistribution. But among universal welfare states, some are pro-poor (Denmark) and some are not (France), and some succeed better in reducing poverty (Belgium) than others (Spain). Here, we reach the limits of conventional quantitative approaches, more suited to estimate the average effect of a cause, say universalism, than to evaluate how different causes produce distinct outcomes in specific cases (Goertz and Mahoney</w:t>
      </w:r>
      <w:r w:rsidR="00B6597B">
        <w:rPr>
          <w:rFonts w:ascii="Times New Roman" w:hAnsi="Times New Roman" w:cs="Times New Roman"/>
          <w:lang w:val="en-CA"/>
        </w:rPr>
        <w:t>,</w:t>
      </w:r>
      <w:r w:rsidRPr="00333FA2">
        <w:rPr>
          <w:rFonts w:ascii="Times New Roman" w:hAnsi="Times New Roman" w:cs="Times New Roman"/>
          <w:lang w:val="en-CA"/>
        </w:rPr>
        <w:t xml:space="preserve"> 2012: 41-2). For this purpose, </w:t>
      </w:r>
      <w:r w:rsidR="00413B05">
        <w:rPr>
          <w:rFonts w:ascii="Times New Roman" w:hAnsi="Times New Roman" w:cs="Times New Roman"/>
          <w:lang w:val="en-CA"/>
        </w:rPr>
        <w:t xml:space="preserve">we use </w:t>
      </w:r>
      <w:r w:rsidR="006A26B7">
        <w:rPr>
          <w:rFonts w:ascii="Times New Roman" w:hAnsi="Times New Roman" w:cs="Times New Roman"/>
          <w:lang w:val="en-CA"/>
        </w:rPr>
        <w:t>a simple truth table</w:t>
      </w:r>
      <w:r w:rsidR="00413B05" w:rsidRPr="00333FA2">
        <w:rPr>
          <w:rFonts w:ascii="Times New Roman" w:hAnsi="Times New Roman" w:cs="Times New Roman"/>
          <w:lang w:val="en-CA"/>
        </w:rPr>
        <w:t xml:space="preserve"> </w:t>
      </w:r>
      <w:r w:rsidR="006A26B7">
        <w:rPr>
          <w:rFonts w:ascii="Times New Roman" w:hAnsi="Times New Roman" w:cs="Times New Roman"/>
          <w:lang w:val="en-CA"/>
        </w:rPr>
        <w:t>as in</w:t>
      </w:r>
      <w:r w:rsidR="006A26B7" w:rsidRPr="00333FA2">
        <w:rPr>
          <w:rFonts w:ascii="Times New Roman" w:hAnsi="Times New Roman" w:cs="Times New Roman"/>
          <w:lang w:val="en-CA"/>
        </w:rPr>
        <w:t xml:space="preserve"> </w:t>
      </w:r>
      <w:r w:rsidRPr="00333FA2">
        <w:rPr>
          <w:rFonts w:ascii="Times New Roman" w:hAnsi="Times New Roman" w:cs="Times New Roman"/>
          <w:lang w:val="en-CA"/>
        </w:rPr>
        <w:t>qualitative comparative analysis (QCA).</w:t>
      </w:r>
    </w:p>
    <w:p w14:paraId="73DD7816" w14:textId="6F27AA81" w:rsidR="00380B73" w:rsidRDefault="00380B73" w:rsidP="00B6597B">
      <w:pPr>
        <w:spacing w:line="480" w:lineRule="auto"/>
        <w:jc w:val="both"/>
        <w:rPr>
          <w:rFonts w:ascii="Times New Roman" w:hAnsi="Times New Roman" w:cs="Times New Roman"/>
          <w:shd w:val="clear" w:color="auto" w:fill="FFFFFF"/>
          <w:lang w:val="en-CA"/>
        </w:rPr>
      </w:pPr>
      <w:r>
        <w:rPr>
          <w:rFonts w:ascii="Times New Roman" w:hAnsi="Times New Roman" w:cs="Times New Roman"/>
          <w:lang w:val="en-CA"/>
        </w:rPr>
        <w:tab/>
      </w:r>
      <w:r w:rsidR="00CC1D81">
        <w:rPr>
          <w:rFonts w:ascii="Times New Roman" w:hAnsi="Times New Roman" w:cs="Times New Roman"/>
          <w:lang w:val="en-CA"/>
        </w:rPr>
        <w:t xml:space="preserve">We </w:t>
      </w:r>
      <w:r w:rsidR="00B6597B">
        <w:rPr>
          <w:rFonts w:ascii="Times New Roman" w:hAnsi="Times New Roman" w:cs="Times New Roman"/>
          <w:lang w:val="en-CA"/>
        </w:rPr>
        <w:t>compute</w:t>
      </w:r>
      <w:r w:rsidR="00B6597B" w:rsidRPr="00333FA2">
        <w:rPr>
          <w:rFonts w:ascii="Times New Roman" w:hAnsi="Times New Roman" w:cs="Times New Roman"/>
          <w:lang w:val="en-CA"/>
        </w:rPr>
        <w:t xml:space="preserve"> </w:t>
      </w:r>
      <w:r w:rsidRPr="00333FA2">
        <w:rPr>
          <w:rFonts w:ascii="Times New Roman" w:hAnsi="Times New Roman" w:cs="Times New Roman"/>
          <w:lang w:val="en-CA"/>
        </w:rPr>
        <w:t xml:space="preserve">a truth table </w:t>
      </w:r>
      <w:r w:rsidR="00B6597B">
        <w:rPr>
          <w:rFonts w:ascii="Times New Roman" w:hAnsi="Times New Roman" w:cs="Times New Roman"/>
          <w:lang w:val="en-CA"/>
        </w:rPr>
        <w:t>for</w:t>
      </w:r>
      <w:r w:rsidR="00B6597B" w:rsidRPr="00333FA2">
        <w:rPr>
          <w:rFonts w:ascii="Times New Roman" w:hAnsi="Times New Roman" w:cs="Times New Roman"/>
          <w:lang w:val="en-CA"/>
        </w:rPr>
        <w:t xml:space="preserve"> </w:t>
      </w:r>
      <w:r w:rsidRPr="00333FA2">
        <w:rPr>
          <w:rFonts w:ascii="Times New Roman" w:hAnsi="Times New Roman" w:cs="Times New Roman"/>
          <w:lang w:val="en-CA"/>
        </w:rPr>
        <w:t>the determinants of poverty reduction</w:t>
      </w:r>
      <w:r w:rsidR="00B32105">
        <w:rPr>
          <w:rFonts w:ascii="Times New Roman" w:hAnsi="Times New Roman" w:cs="Times New Roman"/>
          <w:lang w:val="en-CA"/>
        </w:rPr>
        <w:t xml:space="preserve"> (the raw data </w:t>
      </w:r>
      <w:r w:rsidR="00AA781A">
        <w:rPr>
          <w:rFonts w:ascii="Times New Roman" w:hAnsi="Times New Roman" w:cs="Times New Roman"/>
          <w:lang w:val="en-CA"/>
        </w:rPr>
        <w:t>are</w:t>
      </w:r>
      <w:r w:rsidR="00B32105">
        <w:rPr>
          <w:rFonts w:ascii="Times New Roman" w:hAnsi="Times New Roman" w:cs="Times New Roman"/>
          <w:lang w:val="en-CA"/>
        </w:rPr>
        <w:t xml:space="preserve"> presented in the</w:t>
      </w:r>
      <w:r w:rsidR="00266253">
        <w:rPr>
          <w:rFonts w:ascii="Times New Roman" w:hAnsi="Times New Roman" w:cs="Times New Roman"/>
          <w:lang w:val="en-CA"/>
        </w:rPr>
        <w:t xml:space="preserve"> online</w:t>
      </w:r>
      <w:r w:rsidR="00B32105">
        <w:rPr>
          <w:rFonts w:ascii="Times New Roman" w:hAnsi="Times New Roman" w:cs="Times New Roman"/>
          <w:lang w:val="en-CA"/>
        </w:rPr>
        <w:t xml:space="preserve"> supplementary material</w:t>
      </w:r>
      <w:r w:rsidR="000C57E5">
        <w:rPr>
          <w:rFonts w:ascii="Times New Roman" w:hAnsi="Times New Roman" w:cs="Times New Roman"/>
          <w:lang w:val="en-CA"/>
        </w:rPr>
        <w:t xml:space="preserve">, Table </w:t>
      </w:r>
      <w:r w:rsidR="00413B05">
        <w:rPr>
          <w:rFonts w:ascii="Times New Roman" w:hAnsi="Times New Roman" w:cs="Times New Roman"/>
          <w:lang w:val="en-CA"/>
        </w:rPr>
        <w:t>A</w:t>
      </w:r>
      <w:r w:rsidR="0078177D">
        <w:rPr>
          <w:rFonts w:ascii="Times New Roman" w:hAnsi="Times New Roman" w:cs="Times New Roman"/>
          <w:lang w:val="en-CA"/>
        </w:rPr>
        <w:t>8</w:t>
      </w:r>
      <w:r w:rsidR="00B32105">
        <w:rPr>
          <w:rFonts w:ascii="Times New Roman" w:hAnsi="Times New Roman" w:cs="Times New Roman"/>
          <w:lang w:val="en-CA"/>
        </w:rPr>
        <w:t>)</w:t>
      </w:r>
      <w:r w:rsidRPr="00333FA2">
        <w:rPr>
          <w:rFonts w:ascii="Times New Roman" w:hAnsi="Times New Roman" w:cs="Times New Roman"/>
          <w:lang w:val="en-CA"/>
        </w:rPr>
        <w:t>. We opt for poverty reduction as the outcome, rather than redistribution, because if pro-poor targeting means anything, it should lead to poverty reduction</w:t>
      </w:r>
      <w:r w:rsidR="000B222D">
        <w:rPr>
          <w:rFonts w:ascii="Times New Roman" w:hAnsi="Times New Roman" w:cs="Times New Roman"/>
          <w:lang w:val="en-CA"/>
        </w:rPr>
        <w:t>.</w:t>
      </w:r>
      <w:r w:rsidR="00266253" w:rsidRPr="00266253">
        <w:rPr>
          <w:rFonts w:ascii="Times New Roman" w:hAnsi="Times New Roman" w:cs="Times New Roman"/>
          <w:shd w:val="clear" w:color="auto" w:fill="FFFFFF"/>
          <w:lang w:val="en-CA"/>
        </w:rPr>
        <w:t xml:space="preserve"> </w:t>
      </w:r>
      <w:r w:rsidR="00266253">
        <w:rPr>
          <w:rFonts w:ascii="Times New Roman" w:hAnsi="Times New Roman" w:cs="Times New Roman"/>
          <w:shd w:val="clear" w:color="auto" w:fill="FFFFFF"/>
          <w:lang w:val="en-CA"/>
        </w:rPr>
        <w:t>If we took</w:t>
      </w:r>
      <w:r w:rsidR="00266253" w:rsidRPr="00333FA2">
        <w:rPr>
          <w:rFonts w:ascii="Times New Roman" w:hAnsi="Times New Roman" w:cs="Times New Roman"/>
          <w:shd w:val="clear" w:color="auto" w:fill="FFFFFF"/>
          <w:lang w:val="en-CA"/>
        </w:rPr>
        <w:t xml:space="preserve"> redistribution as an outcome, </w:t>
      </w:r>
      <w:r w:rsidR="00AA781A">
        <w:rPr>
          <w:rFonts w:ascii="Times New Roman" w:hAnsi="Times New Roman" w:cs="Times New Roman"/>
          <w:shd w:val="clear" w:color="auto" w:fill="FFFFFF"/>
          <w:lang w:val="en-CA"/>
        </w:rPr>
        <w:t>however</w:t>
      </w:r>
      <w:r w:rsidR="00266253" w:rsidRPr="00333FA2">
        <w:rPr>
          <w:rFonts w:ascii="Times New Roman" w:hAnsi="Times New Roman" w:cs="Times New Roman"/>
          <w:shd w:val="clear" w:color="auto" w:fill="FFFFFF"/>
          <w:lang w:val="en-CA"/>
        </w:rPr>
        <w:t>, the same broad patterns</w:t>
      </w:r>
      <w:r w:rsidR="00266253">
        <w:rPr>
          <w:rFonts w:ascii="Times New Roman" w:hAnsi="Times New Roman" w:cs="Times New Roman"/>
          <w:shd w:val="clear" w:color="auto" w:fill="FFFFFF"/>
          <w:lang w:val="en-CA"/>
        </w:rPr>
        <w:t xml:space="preserve"> would</w:t>
      </w:r>
      <w:r w:rsidR="00266253" w:rsidRPr="00333FA2">
        <w:rPr>
          <w:rFonts w:ascii="Times New Roman" w:hAnsi="Times New Roman" w:cs="Times New Roman"/>
          <w:shd w:val="clear" w:color="auto" w:fill="FFFFFF"/>
          <w:lang w:val="en-CA"/>
        </w:rPr>
        <w:t xml:space="preserve"> eme</w:t>
      </w:r>
      <w:r w:rsidR="00266253">
        <w:rPr>
          <w:rFonts w:ascii="Times New Roman" w:hAnsi="Times New Roman" w:cs="Times New Roman"/>
          <w:shd w:val="clear" w:color="auto" w:fill="FFFFFF"/>
          <w:lang w:val="en-CA"/>
        </w:rPr>
        <w:t xml:space="preserve">rge; only the residual cases would </w:t>
      </w:r>
      <w:r w:rsidR="00AA781A">
        <w:rPr>
          <w:rFonts w:ascii="Times New Roman" w:hAnsi="Times New Roman" w:cs="Times New Roman"/>
          <w:shd w:val="clear" w:color="auto" w:fill="FFFFFF"/>
          <w:lang w:val="en-CA"/>
        </w:rPr>
        <w:t>change</w:t>
      </w:r>
      <w:r w:rsidR="00A64595">
        <w:rPr>
          <w:rFonts w:ascii="Times New Roman" w:hAnsi="Times New Roman" w:cs="Times New Roman"/>
          <w:shd w:val="clear" w:color="auto" w:fill="FFFFFF"/>
          <w:lang w:val="en-CA"/>
        </w:rPr>
        <w:t xml:space="preserve"> (results available from the authors on request)</w:t>
      </w:r>
      <w:r w:rsidR="00266253" w:rsidRPr="00333FA2">
        <w:rPr>
          <w:rFonts w:ascii="Times New Roman" w:hAnsi="Times New Roman" w:cs="Times New Roman"/>
          <w:shd w:val="clear" w:color="auto" w:fill="FFFFFF"/>
          <w:lang w:val="en-CA"/>
        </w:rPr>
        <w:t>.</w:t>
      </w:r>
      <w:r w:rsidRPr="00333FA2">
        <w:rPr>
          <w:rFonts w:ascii="Times New Roman" w:hAnsi="Times New Roman" w:cs="Times New Roman"/>
          <w:lang w:val="en-CA"/>
        </w:rPr>
        <w:t xml:space="preserve"> All variables are dichotomized:</w:t>
      </w:r>
      <w:r w:rsidR="00B25F56" w:rsidRPr="00333FA2">
        <w:rPr>
          <w:rFonts w:ascii="Times New Roman" w:hAnsi="Times New Roman" w:cs="Times New Roman"/>
          <w:lang w:val="en-CA"/>
        </w:rPr>
        <w:t xml:space="preserve"> for universalism, a value of 1 is attributed if the score is positive, and 0 if it is negative;</w:t>
      </w:r>
      <w:r w:rsidRPr="00333FA2">
        <w:rPr>
          <w:rFonts w:ascii="Times New Roman" w:hAnsi="Times New Roman" w:cs="Times New Roman"/>
          <w:lang w:val="en-CA"/>
        </w:rPr>
        <w:t xml:space="preserve"> for targeting, a value of 1 is given if the concentration coefficient is negative (pro-poor) and </w:t>
      </w:r>
      <w:r w:rsidR="005F6651">
        <w:rPr>
          <w:rFonts w:ascii="Times New Roman" w:hAnsi="Times New Roman" w:cs="Times New Roman"/>
          <w:lang w:val="en-CA"/>
        </w:rPr>
        <w:t>of</w:t>
      </w:r>
      <w:r w:rsidRPr="00333FA2">
        <w:rPr>
          <w:rFonts w:ascii="Times New Roman" w:hAnsi="Times New Roman" w:cs="Times New Roman"/>
          <w:lang w:val="en-CA"/>
        </w:rPr>
        <w:t xml:space="preserve"> 0 if it is</w:t>
      </w:r>
      <w:r w:rsidR="005F6651">
        <w:rPr>
          <w:rFonts w:ascii="Times New Roman" w:hAnsi="Times New Roman" w:cs="Times New Roman"/>
          <w:lang w:val="en-CA"/>
        </w:rPr>
        <w:t xml:space="preserve"> positive (</w:t>
      </w:r>
      <w:r w:rsidRPr="00333FA2">
        <w:rPr>
          <w:rFonts w:ascii="Times New Roman" w:hAnsi="Times New Roman" w:cs="Times New Roman"/>
          <w:lang w:val="en-CA"/>
        </w:rPr>
        <w:t>pro-</w:t>
      </w:r>
      <w:r w:rsidR="005F6651">
        <w:rPr>
          <w:rFonts w:ascii="Times New Roman" w:hAnsi="Times New Roman" w:cs="Times New Roman"/>
          <w:lang w:val="en-CA"/>
        </w:rPr>
        <w:t>rich)</w:t>
      </w:r>
      <w:r w:rsidRPr="00333FA2">
        <w:rPr>
          <w:rFonts w:ascii="Times New Roman" w:hAnsi="Times New Roman" w:cs="Times New Roman"/>
          <w:lang w:val="en-CA"/>
        </w:rPr>
        <w:t xml:space="preserve">; </w:t>
      </w:r>
      <w:r w:rsidR="008B7671">
        <w:rPr>
          <w:rFonts w:ascii="Times New Roman" w:hAnsi="Times New Roman" w:cs="Times New Roman"/>
          <w:lang w:val="en-CA"/>
        </w:rPr>
        <w:t xml:space="preserve">and </w:t>
      </w:r>
      <w:r w:rsidRPr="00333FA2">
        <w:rPr>
          <w:rFonts w:ascii="Times New Roman" w:hAnsi="Times New Roman" w:cs="Times New Roman"/>
          <w:lang w:val="en-CA"/>
        </w:rPr>
        <w:t xml:space="preserve">the </w:t>
      </w:r>
      <w:r w:rsidR="00B25F56">
        <w:rPr>
          <w:rFonts w:ascii="Times New Roman" w:hAnsi="Times New Roman" w:cs="Times New Roman"/>
          <w:lang w:val="en-CA"/>
        </w:rPr>
        <w:t>poverty reduction</w:t>
      </w:r>
      <w:r w:rsidR="00B25F56" w:rsidRPr="00333FA2">
        <w:rPr>
          <w:rFonts w:ascii="Times New Roman" w:hAnsi="Times New Roman" w:cs="Times New Roman"/>
          <w:lang w:val="en-CA"/>
        </w:rPr>
        <w:t xml:space="preserve"> </w:t>
      </w:r>
      <w:r w:rsidRPr="00333FA2">
        <w:rPr>
          <w:rFonts w:ascii="Times New Roman" w:hAnsi="Times New Roman" w:cs="Times New Roman"/>
          <w:lang w:val="en-CA"/>
        </w:rPr>
        <w:t>variable take</w:t>
      </w:r>
      <w:r w:rsidR="00B25F56">
        <w:rPr>
          <w:rFonts w:ascii="Times New Roman" w:hAnsi="Times New Roman" w:cs="Times New Roman"/>
          <w:lang w:val="en-CA"/>
        </w:rPr>
        <w:t>s</w:t>
      </w:r>
      <w:r w:rsidRPr="00333FA2">
        <w:rPr>
          <w:rFonts w:ascii="Times New Roman" w:hAnsi="Times New Roman" w:cs="Times New Roman"/>
          <w:lang w:val="en-CA"/>
        </w:rPr>
        <w:t xml:space="preserve"> a value of 1 when a country’s score is above the median, and 0 otherwise.</w:t>
      </w:r>
      <w:r w:rsidR="00B32105">
        <w:rPr>
          <w:rFonts w:ascii="Times New Roman" w:hAnsi="Times New Roman" w:cs="Times New Roman"/>
          <w:lang w:val="en-CA"/>
        </w:rPr>
        <w:t xml:space="preserve"> </w:t>
      </w:r>
      <w:r w:rsidRPr="00333FA2">
        <w:rPr>
          <w:rFonts w:ascii="Times New Roman" w:hAnsi="Times New Roman" w:cs="Times New Roman"/>
          <w:shd w:val="clear" w:color="auto" w:fill="FFFFFF"/>
          <w:lang w:val="en-CA"/>
        </w:rPr>
        <w:t>When we combine the different cases, we obtain the t</w:t>
      </w:r>
      <w:r w:rsidR="004F3F4E">
        <w:rPr>
          <w:rFonts w:ascii="Times New Roman" w:hAnsi="Times New Roman" w:cs="Times New Roman"/>
          <w:shd w:val="clear" w:color="auto" w:fill="FFFFFF"/>
          <w:lang w:val="en-CA"/>
        </w:rPr>
        <w:t xml:space="preserve">ruth table presented in Table </w:t>
      </w:r>
      <w:r w:rsidR="00413B05">
        <w:rPr>
          <w:rFonts w:ascii="Times New Roman" w:hAnsi="Times New Roman" w:cs="Times New Roman"/>
          <w:shd w:val="clear" w:color="auto" w:fill="FFFFFF"/>
          <w:lang w:val="en-CA"/>
        </w:rPr>
        <w:t>2</w:t>
      </w:r>
      <w:r w:rsidRPr="00333FA2">
        <w:rPr>
          <w:rFonts w:ascii="Times New Roman" w:hAnsi="Times New Roman" w:cs="Times New Roman"/>
          <w:shd w:val="clear" w:color="auto" w:fill="FFFFFF"/>
          <w:lang w:val="en-CA"/>
        </w:rPr>
        <w:t>.</w:t>
      </w:r>
    </w:p>
    <w:p w14:paraId="1254D570" w14:textId="77777777" w:rsidR="00380B73" w:rsidRDefault="00380B73" w:rsidP="00380B73">
      <w:pPr>
        <w:spacing w:line="480" w:lineRule="auto"/>
        <w:ind w:right="-942"/>
        <w:jc w:val="center"/>
        <w:rPr>
          <w:rFonts w:ascii="Times New Roman" w:hAnsi="Times New Roman" w:cs="Times New Roman"/>
          <w:shd w:val="clear" w:color="auto" w:fill="FFFFFF"/>
          <w:lang w:val="en-CA"/>
        </w:rPr>
      </w:pPr>
    </w:p>
    <w:p w14:paraId="665153EE" w14:textId="77777777" w:rsidR="006E5E52" w:rsidRDefault="006E5E52">
      <w:pPr>
        <w:rPr>
          <w:rFonts w:ascii="Times New Roman" w:hAnsi="Times New Roman" w:cs="Times New Roman"/>
          <w:b/>
          <w:lang w:val="en-CA"/>
        </w:rPr>
      </w:pPr>
      <w:r>
        <w:rPr>
          <w:rFonts w:ascii="Times New Roman" w:hAnsi="Times New Roman" w:cs="Times New Roman"/>
          <w:b/>
          <w:lang w:val="en-CA"/>
        </w:rPr>
        <w:lastRenderedPageBreak/>
        <w:br w:type="page"/>
      </w:r>
    </w:p>
    <w:p w14:paraId="04521FE5" w14:textId="4B0A5450" w:rsidR="004F3F4E" w:rsidRPr="00333FA2" w:rsidRDefault="004F3F4E" w:rsidP="006E5E52">
      <w:pPr>
        <w:rPr>
          <w:rFonts w:ascii="Times New Roman" w:hAnsi="Times New Roman" w:cs="Times New Roman"/>
          <w:b/>
          <w:lang w:val="en-CA"/>
        </w:rPr>
      </w:pPr>
      <w:r>
        <w:rPr>
          <w:rFonts w:ascii="Times New Roman" w:hAnsi="Times New Roman" w:cs="Times New Roman"/>
          <w:b/>
          <w:lang w:val="en-CA"/>
        </w:rPr>
        <w:lastRenderedPageBreak/>
        <w:t xml:space="preserve">Table </w:t>
      </w:r>
      <w:r w:rsidR="00413B05">
        <w:rPr>
          <w:rFonts w:ascii="Times New Roman" w:hAnsi="Times New Roman" w:cs="Times New Roman"/>
          <w:b/>
          <w:lang w:val="en-CA"/>
        </w:rPr>
        <w:t>2</w:t>
      </w:r>
      <w:r w:rsidRPr="00333FA2">
        <w:rPr>
          <w:rFonts w:ascii="Times New Roman" w:hAnsi="Times New Roman" w:cs="Times New Roman"/>
          <w:b/>
          <w:lang w:val="en-CA"/>
        </w:rPr>
        <w:t>: Truth table for poverty reduction</w:t>
      </w:r>
    </w:p>
    <w:p w14:paraId="5D9E4485" w14:textId="77777777" w:rsidR="004F3F4E" w:rsidRPr="00333FA2" w:rsidRDefault="004F3F4E" w:rsidP="004F3F4E">
      <w:pPr>
        <w:spacing w:line="276" w:lineRule="auto"/>
        <w:ind w:right="-942"/>
        <w:jc w:val="both"/>
        <w:rPr>
          <w:rFonts w:ascii="Times New Roman" w:hAnsi="Times New Roman" w:cs="Times New Roman"/>
          <w:lang w:val="en-CA"/>
        </w:rPr>
      </w:pPr>
      <w:r w:rsidRPr="00333FA2">
        <w:rPr>
          <w:rFonts w:ascii="Times New Roman" w:hAnsi="Times New Roman" w:cs="Times New Roman"/>
          <w:lang w:val="en-CA"/>
        </w:rPr>
        <w:tab/>
      </w:r>
      <w:r w:rsidRPr="00333FA2">
        <w:rPr>
          <w:rFonts w:ascii="Times New Roman" w:hAnsi="Times New Roman" w:cs="Times New Roman"/>
          <w:lang w:val="en-CA"/>
        </w:rPr>
        <w:tab/>
      </w:r>
      <w:r w:rsidRPr="00333FA2">
        <w:rPr>
          <w:rFonts w:ascii="Times New Roman" w:hAnsi="Times New Roman" w:cs="Times New Roman"/>
          <w:lang w:val="en-CA"/>
        </w:rPr>
        <w:tab/>
      </w:r>
    </w:p>
    <w:p w14:paraId="1BB7823A" w14:textId="610A897B" w:rsidR="004F3F4E" w:rsidRPr="00333FA2" w:rsidRDefault="004F3F4E" w:rsidP="008B6D40">
      <w:pPr>
        <w:pBdr>
          <w:top w:val="single" w:sz="4" w:space="1" w:color="auto"/>
        </w:pBdr>
        <w:spacing w:before="120" w:line="276" w:lineRule="auto"/>
        <w:ind w:right="-6"/>
        <w:rPr>
          <w:rFonts w:ascii="Times New Roman" w:hAnsi="Times New Roman" w:cs="Times New Roman"/>
          <w:b/>
          <w:lang w:val="en-CA"/>
        </w:rPr>
      </w:pPr>
      <w:r>
        <w:rPr>
          <w:rFonts w:ascii="Times New Roman" w:hAnsi="Times New Roman" w:cs="Times New Roman"/>
          <w:b/>
          <w:lang w:val="en-CA"/>
        </w:rPr>
        <w:t xml:space="preserve">N             </w:t>
      </w:r>
      <w:r w:rsidRPr="00333FA2">
        <w:rPr>
          <w:rFonts w:ascii="Times New Roman" w:hAnsi="Times New Roman" w:cs="Times New Roman"/>
          <w:b/>
          <w:lang w:val="en-CA"/>
        </w:rPr>
        <w:t>Univ</w:t>
      </w:r>
      <w:r>
        <w:rPr>
          <w:rFonts w:ascii="Times New Roman" w:hAnsi="Times New Roman" w:cs="Times New Roman"/>
          <w:b/>
          <w:lang w:val="en-CA"/>
        </w:rPr>
        <w:t xml:space="preserve">ersalism   </w:t>
      </w:r>
      <w:r w:rsidRPr="00333FA2">
        <w:rPr>
          <w:rFonts w:ascii="Times New Roman" w:hAnsi="Times New Roman" w:cs="Times New Roman"/>
          <w:b/>
          <w:lang w:val="en-CA"/>
        </w:rPr>
        <w:t>Pro-poor</w:t>
      </w:r>
      <w:r w:rsidR="00701D00">
        <w:rPr>
          <w:rFonts w:ascii="Times New Roman" w:hAnsi="Times New Roman" w:cs="Times New Roman"/>
          <w:b/>
          <w:lang w:val="en-CA"/>
        </w:rPr>
        <w:t xml:space="preserve">   </w:t>
      </w:r>
      <w:r w:rsidR="00B25F56">
        <w:rPr>
          <w:rFonts w:ascii="Times New Roman" w:hAnsi="Times New Roman" w:cs="Times New Roman"/>
          <w:b/>
          <w:lang w:val="en-CA"/>
        </w:rPr>
        <w:t xml:space="preserve">   </w:t>
      </w:r>
      <w:r w:rsidR="00872DD5">
        <w:rPr>
          <w:rFonts w:ascii="Times New Roman" w:hAnsi="Times New Roman" w:cs="Times New Roman"/>
          <w:b/>
          <w:lang w:val="en-CA"/>
        </w:rPr>
        <w:t>Poverty</w:t>
      </w:r>
      <w:r w:rsidR="00CC247D">
        <w:rPr>
          <w:rFonts w:ascii="Times New Roman" w:hAnsi="Times New Roman" w:cs="Times New Roman"/>
          <w:b/>
          <w:lang w:val="en-CA"/>
        </w:rPr>
        <w:tab/>
      </w:r>
      <w:r w:rsidR="00CC247D">
        <w:rPr>
          <w:rFonts w:ascii="Times New Roman" w:hAnsi="Times New Roman" w:cs="Times New Roman"/>
          <w:b/>
          <w:lang w:val="en-CA"/>
        </w:rPr>
        <w:tab/>
      </w:r>
      <w:r w:rsidR="00CC247D">
        <w:rPr>
          <w:rFonts w:ascii="Times New Roman" w:hAnsi="Times New Roman" w:cs="Times New Roman"/>
          <w:b/>
          <w:lang w:val="en-CA"/>
        </w:rPr>
        <w:tab/>
      </w:r>
      <w:r w:rsidR="00CC247D">
        <w:rPr>
          <w:rFonts w:ascii="Times New Roman" w:hAnsi="Times New Roman" w:cs="Times New Roman"/>
          <w:b/>
          <w:lang w:val="en-CA"/>
        </w:rPr>
        <w:tab/>
      </w:r>
      <w:r w:rsidR="00CC247D">
        <w:rPr>
          <w:rFonts w:ascii="Times New Roman" w:hAnsi="Times New Roman" w:cs="Times New Roman"/>
          <w:b/>
          <w:lang w:val="en-CA"/>
        </w:rPr>
        <w:tab/>
      </w:r>
      <w:r w:rsidR="00CC247D">
        <w:rPr>
          <w:rFonts w:ascii="Times New Roman" w:hAnsi="Times New Roman" w:cs="Times New Roman"/>
          <w:b/>
          <w:lang w:val="en-CA"/>
        </w:rPr>
        <w:tab/>
      </w:r>
      <w:r w:rsidR="00CC247D">
        <w:rPr>
          <w:rFonts w:ascii="Times New Roman" w:hAnsi="Times New Roman" w:cs="Times New Roman"/>
          <w:b/>
          <w:lang w:val="en-CA"/>
        </w:rPr>
        <w:tab/>
      </w:r>
      <w:r w:rsidR="00CC247D">
        <w:rPr>
          <w:rFonts w:ascii="Times New Roman" w:hAnsi="Times New Roman" w:cs="Times New Roman"/>
          <w:b/>
          <w:lang w:val="en-CA"/>
        </w:rPr>
        <w:tab/>
      </w:r>
      <w:r w:rsidR="00CC247D">
        <w:rPr>
          <w:rFonts w:ascii="Times New Roman" w:hAnsi="Times New Roman" w:cs="Times New Roman"/>
          <w:b/>
          <w:lang w:val="en-CA"/>
        </w:rPr>
        <w:tab/>
      </w:r>
      <w:r w:rsidR="00701D00">
        <w:rPr>
          <w:rFonts w:ascii="Times New Roman" w:hAnsi="Times New Roman" w:cs="Times New Roman"/>
          <w:b/>
          <w:lang w:val="en-CA"/>
        </w:rPr>
        <w:t xml:space="preserve">     </w:t>
      </w:r>
      <w:r w:rsidR="00B25F56">
        <w:rPr>
          <w:rFonts w:ascii="Times New Roman" w:hAnsi="Times New Roman" w:cs="Times New Roman"/>
          <w:b/>
          <w:lang w:val="en-CA"/>
        </w:rPr>
        <w:t xml:space="preserve"> </w:t>
      </w:r>
      <w:r w:rsidR="00CC247D">
        <w:rPr>
          <w:rFonts w:ascii="Times New Roman" w:hAnsi="Times New Roman" w:cs="Times New Roman"/>
          <w:b/>
          <w:lang w:val="en-CA"/>
        </w:rPr>
        <w:t>transf</w:t>
      </w:r>
      <w:r w:rsidR="00701D00">
        <w:rPr>
          <w:rFonts w:ascii="Times New Roman" w:hAnsi="Times New Roman" w:cs="Times New Roman"/>
          <w:b/>
          <w:lang w:val="en-CA"/>
        </w:rPr>
        <w:t xml:space="preserve">ers   </w:t>
      </w:r>
      <w:r w:rsidR="00B25F56">
        <w:rPr>
          <w:rFonts w:ascii="Times New Roman" w:hAnsi="Times New Roman" w:cs="Times New Roman"/>
          <w:b/>
          <w:lang w:val="en-CA"/>
        </w:rPr>
        <w:t xml:space="preserve">   </w:t>
      </w:r>
      <w:r>
        <w:rPr>
          <w:rFonts w:ascii="Times New Roman" w:hAnsi="Times New Roman" w:cs="Times New Roman"/>
          <w:b/>
          <w:lang w:val="en-CA"/>
        </w:rPr>
        <w:t>reductio</w:t>
      </w:r>
      <w:r w:rsidR="00B25F56">
        <w:rPr>
          <w:rFonts w:ascii="Times New Roman" w:hAnsi="Times New Roman" w:cs="Times New Roman"/>
          <w:b/>
          <w:lang w:val="en-CA"/>
        </w:rPr>
        <w:t>n</w:t>
      </w:r>
    </w:p>
    <w:p w14:paraId="6A0BB1BA" w14:textId="26E9E198" w:rsidR="004F3F4E" w:rsidRPr="00333FA2" w:rsidRDefault="004F3F4E" w:rsidP="008B6D40">
      <w:pPr>
        <w:spacing w:line="276" w:lineRule="auto"/>
        <w:ind w:right="-7"/>
        <w:rPr>
          <w:rFonts w:ascii="Times New Roman" w:hAnsi="Times New Roman" w:cs="Times New Roman"/>
          <w:b/>
          <w:lang w:val="en-CA"/>
        </w:rPr>
      </w:pPr>
      <w:r>
        <w:rPr>
          <w:rFonts w:ascii="Times New Roman" w:hAnsi="Times New Roman" w:cs="Times New Roman"/>
          <w:b/>
          <w:lang w:val="en-CA"/>
        </w:rPr>
        <w:t xml:space="preserve">                </w:t>
      </w:r>
      <w:r w:rsidRPr="00333FA2">
        <w:rPr>
          <w:rFonts w:ascii="Times New Roman" w:hAnsi="Times New Roman" w:cs="Times New Roman"/>
          <w:b/>
          <w:lang w:val="en-CA"/>
        </w:rPr>
        <w:t xml:space="preserve">                              </w:t>
      </w:r>
    </w:p>
    <w:p w14:paraId="5DAE116C" w14:textId="77777777" w:rsidR="004F3F4E" w:rsidRPr="00333FA2" w:rsidRDefault="004F3F4E" w:rsidP="008B6D40">
      <w:pPr>
        <w:pBdr>
          <w:top w:val="single" w:sz="4" w:space="1" w:color="auto"/>
          <w:bottom w:val="single" w:sz="4" w:space="1" w:color="auto"/>
        </w:pBdr>
        <w:spacing w:line="276" w:lineRule="auto"/>
        <w:jc w:val="both"/>
        <w:rPr>
          <w:rFonts w:ascii="Times New Roman" w:hAnsi="Times New Roman" w:cs="Times New Roman"/>
          <w:lang w:val="en-CA"/>
        </w:rPr>
      </w:pPr>
    </w:p>
    <w:p w14:paraId="79DF48CD" w14:textId="291A5A56" w:rsidR="004F3F4E" w:rsidRPr="00333FA2" w:rsidRDefault="004F3F4E" w:rsidP="008B6D40">
      <w:pPr>
        <w:pBdr>
          <w:top w:val="single" w:sz="4" w:space="1" w:color="auto"/>
          <w:bottom w:val="single" w:sz="4" w:space="1" w:color="auto"/>
        </w:pBdr>
        <w:spacing w:line="360" w:lineRule="auto"/>
        <w:jc w:val="both"/>
        <w:rPr>
          <w:rFonts w:ascii="Times New Roman" w:hAnsi="Times New Roman" w:cs="Times New Roman"/>
          <w:lang w:val="en-CA"/>
        </w:rPr>
      </w:pPr>
      <w:r w:rsidRPr="00333FA2">
        <w:rPr>
          <w:rFonts w:ascii="Times New Roman" w:hAnsi="Times New Roman" w:cs="Times New Roman"/>
          <w:lang w:val="en-CA"/>
        </w:rPr>
        <w:t>6</w:t>
      </w:r>
      <w:r w:rsidRPr="00333FA2">
        <w:rPr>
          <w:rFonts w:ascii="Times New Roman" w:hAnsi="Times New Roman" w:cs="Times New Roman"/>
          <w:lang w:val="en-CA"/>
        </w:rPr>
        <w:tab/>
      </w:r>
      <w:r w:rsidRPr="00333FA2">
        <w:rPr>
          <w:rFonts w:ascii="Times New Roman" w:hAnsi="Times New Roman" w:cs="Times New Roman"/>
          <w:lang w:val="en-CA"/>
        </w:rPr>
        <w:tab/>
        <w:t>0</w:t>
      </w:r>
      <w:r w:rsidRPr="00333FA2">
        <w:rPr>
          <w:rFonts w:ascii="Times New Roman" w:hAnsi="Times New Roman" w:cs="Times New Roman"/>
          <w:lang w:val="en-CA"/>
        </w:rPr>
        <w:tab/>
        <w:t xml:space="preserve">       </w:t>
      </w:r>
      <w:r>
        <w:rPr>
          <w:rFonts w:ascii="Times New Roman" w:hAnsi="Times New Roman" w:cs="Times New Roman"/>
          <w:lang w:val="en-CA"/>
        </w:rPr>
        <w:tab/>
      </w:r>
      <w:r w:rsidR="00872DD5">
        <w:rPr>
          <w:rFonts w:ascii="Times New Roman" w:hAnsi="Times New Roman" w:cs="Times New Roman"/>
          <w:lang w:val="en-CA"/>
        </w:rPr>
        <w:t>1</w:t>
      </w:r>
      <w:r w:rsidR="00872DD5">
        <w:rPr>
          <w:rFonts w:ascii="Times New Roman" w:hAnsi="Times New Roman" w:cs="Times New Roman"/>
          <w:lang w:val="en-CA"/>
        </w:rPr>
        <w:tab/>
      </w:r>
      <w:r w:rsidR="00701D00">
        <w:rPr>
          <w:rFonts w:ascii="Times New Roman" w:hAnsi="Times New Roman" w:cs="Times New Roman"/>
          <w:lang w:val="en-CA"/>
        </w:rPr>
        <w:tab/>
      </w:r>
      <w:r w:rsidR="00872DD5">
        <w:rPr>
          <w:rFonts w:ascii="Times New Roman" w:hAnsi="Times New Roman" w:cs="Times New Roman"/>
          <w:lang w:val="en-CA"/>
        </w:rPr>
        <w:t>0</w:t>
      </w:r>
      <w:r w:rsidRPr="00333FA2">
        <w:rPr>
          <w:rFonts w:ascii="Times New Roman" w:hAnsi="Times New Roman" w:cs="Times New Roman"/>
          <w:lang w:val="en-CA"/>
        </w:rPr>
        <w:t xml:space="preserve">     Targeting</w:t>
      </w:r>
      <w:r w:rsidR="00872DD5">
        <w:rPr>
          <w:rFonts w:ascii="Times New Roman" w:hAnsi="Times New Roman" w:cs="Times New Roman"/>
          <w:lang w:val="en-CA"/>
        </w:rPr>
        <w:t xml:space="preserve"> (</w:t>
      </w:r>
      <w:r w:rsidR="00CC247D">
        <w:rPr>
          <w:rFonts w:ascii="Times New Roman" w:hAnsi="Times New Roman" w:cs="Times New Roman"/>
          <w:lang w:val="en-CA"/>
        </w:rPr>
        <w:t>AU, CA, IE, CH, GB, US</w:t>
      </w:r>
      <w:r w:rsidR="00872DD5">
        <w:rPr>
          <w:rFonts w:ascii="Times New Roman" w:hAnsi="Times New Roman" w:cs="Times New Roman"/>
          <w:lang w:val="en-CA"/>
        </w:rPr>
        <w:t>)</w:t>
      </w:r>
    </w:p>
    <w:p w14:paraId="05F8E83F" w14:textId="22777419" w:rsidR="004F3F4E" w:rsidRPr="00333FA2" w:rsidRDefault="00947BDB" w:rsidP="008B6D40">
      <w:pPr>
        <w:pBdr>
          <w:top w:val="single" w:sz="4" w:space="1" w:color="auto"/>
          <w:bottom w:val="single" w:sz="4" w:space="1" w:color="auto"/>
        </w:pBdr>
        <w:spacing w:line="360" w:lineRule="auto"/>
        <w:jc w:val="both"/>
        <w:rPr>
          <w:rFonts w:ascii="Times New Roman" w:hAnsi="Times New Roman" w:cs="Times New Roman"/>
          <w:lang w:val="en-CA"/>
        </w:rPr>
      </w:pPr>
      <w:r>
        <w:rPr>
          <w:rFonts w:ascii="Times New Roman" w:hAnsi="Times New Roman" w:cs="Times New Roman"/>
          <w:lang w:val="en-CA"/>
        </w:rPr>
        <w:t>5</w:t>
      </w:r>
      <w:r w:rsidR="004F3F4E" w:rsidRPr="00333FA2">
        <w:rPr>
          <w:rFonts w:ascii="Times New Roman" w:hAnsi="Times New Roman" w:cs="Times New Roman"/>
          <w:lang w:val="en-CA"/>
        </w:rPr>
        <w:tab/>
      </w:r>
      <w:r w:rsidR="004F3F4E" w:rsidRPr="00333FA2">
        <w:rPr>
          <w:rFonts w:ascii="Times New Roman" w:hAnsi="Times New Roman" w:cs="Times New Roman"/>
          <w:lang w:val="en-CA"/>
        </w:rPr>
        <w:tab/>
        <w:t>1</w:t>
      </w:r>
      <w:r w:rsidR="004F3F4E" w:rsidRPr="00333FA2">
        <w:rPr>
          <w:rFonts w:ascii="Times New Roman" w:hAnsi="Times New Roman" w:cs="Times New Roman"/>
          <w:lang w:val="en-CA"/>
        </w:rPr>
        <w:tab/>
        <w:t xml:space="preserve">      </w:t>
      </w:r>
      <w:r w:rsidR="004F3F4E">
        <w:rPr>
          <w:rFonts w:ascii="Times New Roman" w:hAnsi="Times New Roman" w:cs="Times New Roman"/>
          <w:lang w:val="en-CA"/>
        </w:rPr>
        <w:t xml:space="preserve"> </w:t>
      </w:r>
      <w:r w:rsidR="004F3F4E">
        <w:rPr>
          <w:rFonts w:ascii="Times New Roman" w:hAnsi="Times New Roman" w:cs="Times New Roman"/>
          <w:lang w:val="en-CA"/>
        </w:rPr>
        <w:tab/>
      </w:r>
      <w:r w:rsidR="00872DD5">
        <w:rPr>
          <w:rFonts w:ascii="Times New Roman" w:hAnsi="Times New Roman" w:cs="Times New Roman"/>
          <w:lang w:val="en-CA"/>
        </w:rPr>
        <w:t>1</w:t>
      </w:r>
      <w:r w:rsidR="00701D00">
        <w:rPr>
          <w:rFonts w:ascii="Times New Roman" w:hAnsi="Times New Roman" w:cs="Times New Roman"/>
          <w:lang w:val="en-CA"/>
        </w:rPr>
        <w:tab/>
      </w:r>
      <w:r w:rsidR="00701D00">
        <w:rPr>
          <w:rFonts w:ascii="Times New Roman" w:hAnsi="Times New Roman" w:cs="Times New Roman"/>
          <w:lang w:val="en-CA"/>
        </w:rPr>
        <w:tab/>
      </w:r>
      <w:r w:rsidR="00872DD5">
        <w:rPr>
          <w:rFonts w:ascii="Times New Roman" w:hAnsi="Times New Roman" w:cs="Times New Roman"/>
          <w:lang w:val="en-CA"/>
        </w:rPr>
        <w:t xml:space="preserve">1    </w:t>
      </w:r>
      <w:r w:rsidR="006F4C29">
        <w:rPr>
          <w:rFonts w:ascii="Times New Roman" w:hAnsi="Times New Roman" w:cs="Times New Roman"/>
          <w:lang w:val="en-CA"/>
        </w:rPr>
        <w:t xml:space="preserve"> </w:t>
      </w:r>
      <w:r w:rsidR="00872DD5">
        <w:rPr>
          <w:rFonts w:ascii="Times New Roman" w:hAnsi="Times New Roman" w:cs="Times New Roman"/>
          <w:lang w:val="en-CA"/>
        </w:rPr>
        <w:t>Targ.</w:t>
      </w:r>
      <w:r w:rsidR="004F3F4E">
        <w:rPr>
          <w:rFonts w:ascii="Times New Roman" w:hAnsi="Times New Roman" w:cs="Times New Roman"/>
          <w:lang w:val="en-CA"/>
        </w:rPr>
        <w:t xml:space="preserve"> </w:t>
      </w:r>
      <w:r w:rsidR="00872DD5">
        <w:rPr>
          <w:rFonts w:ascii="Times New Roman" w:hAnsi="Times New Roman" w:cs="Times New Roman"/>
          <w:lang w:val="en-CA"/>
        </w:rPr>
        <w:t>w</w:t>
      </w:r>
      <w:r w:rsidR="004F3F4E">
        <w:rPr>
          <w:rFonts w:ascii="Times New Roman" w:hAnsi="Times New Roman" w:cs="Times New Roman"/>
          <w:lang w:val="en-CA"/>
        </w:rPr>
        <w:t>ithin</w:t>
      </w:r>
      <w:r w:rsidR="00872DD5">
        <w:rPr>
          <w:rFonts w:ascii="Times New Roman" w:hAnsi="Times New Roman" w:cs="Times New Roman"/>
          <w:lang w:val="en-CA"/>
        </w:rPr>
        <w:t xml:space="preserve"> univ</w:t>
      </w:r>
      <w:r w:rsidR="006A26B7">
        <w:rPr>
          <w:rFonts w:ascii="Times New Roman" w:hAnsi="Times New Roman" w:cs="Times New Roman"/>
          <w:lang w:val="en-CA"/>
        </w:rPr>
        <w:t>.</w:t>
      </w:r>
      <w:r w:rsidR="00872DD5">
        <w:rPr>
          <w:rFonts w:ascii="Times New Roman" w:hAnsi="Times New Roman" w:cs="Times New Roman"/>
          <w:lang w:val="en-CA"/>
        </w:rPr>
        <w:t xml:space="preserve"> </w:t>
      </w:r>
      <w:r w:rsidR="00CC247D">
        <w:rPr>
          <w:rFonts w:ascii="Times New Roman" w:hAnsi="Times New Roman" w:cs="Times New Roman"/>
          <w:lang w:val="en-CA"/>
        </w:rPr>
        <w:t>(BE, DK, FI, NO, SE</w:t>
      </w:r>
      <w:r w:rsidR="00872DD5">
        <w:rPr>
          <w:rFonts w:ascii="Times New Roman" w:hAnsi="Times New Roman" w:cs="Times New Roman"/>
          <w:lang w:val="en-CA"/>
        </w:rPr>
        <w:t>)</w:t>
      </w:r>
    </w:p>
    <w:p w14:paraId="38F27175" w14:textId="5BADB38E" w:rsidR="004F3F4E" w:rsidRPr="00333FA2" w:rsidRDefault="00872DD5" w:rsidP="008B6D40">
      <w:pPr>
        <w:pBdr>
          <w:top w:val="single" w:sz="4" w:space="1" w:color="auto"/>
          <w:bottom w:val="single" w:sz="4" w:space="1" w:color="auto"/>
        </w:pBdr>
        <w:spacing w:line="360" w:lineRule="auto"/>
        <w:jc w:val="both"/>
        <w:rPr>
          <w:rFonts w:ascii="Times New Roman" w:hAnsi="Times New Roman" w:cs="Times New Roman"/>
          <w:lang w:val="en-CA"/>
        </w:rPr>
      </w:pPr>
      <w:r>
        <w:rPr>
          <w:rFonts w:ascii="Times New Roman" w:hAnsi="Times New Roman" w:cs="Times New Roman"/>
          <w:lang w:val="en-CA"/>
        </w:rPr>
        <w:t>4</w:t>
      </w:r>
      <w:r>
        <w:rPr>
          <w:rFonts w:ascii="Times New Roman" w:hAnsi="Times New Roman" w:cs="Times New Roman"/>
          <w:lang w:val="en-CA"/>
        </w:rPr>
        <w:tab/>
      </w:r>
      <w:r>
        <w:rPr>
          <w:rFonts w:ascii="Times New Roman" w:hAnsi="Times New Roman" w:cs="Times New Roman"/>
          <w:lang w:val="en-CA"/>
        </w:rPr>
        <w:tab/>
        <w:t>1</w:t>
      </w:r>
      <w:r w:rsidR="004F3F4E">
        <w:rPr>
          <w:rFonts w:ascii="Times New Roman" w:hAnsi="Times New Roman" w:cs="Times New Roman"/>
          <w:lang w:val="en-CA"/>
        </w:rPr>
        <w:tab/>
        <w:t xml:space="preserve">        </w:t>
      </w:r>
      <w:r w:rsidR="004F3F4E">
        <w:rPr>
          <w:rFonts w:ascii="Times New Roman" w:hAnsi="Times New Roman" w:cs="Times New Roman"/>
          <w:lang w:val="en-CA"/>
        </w:rPr>
        <w:tab/>
      </w:r>
      <w:r>
        <w:rPr>
          <w:rFonts w:ascii="Times New Roman" w:hAnsi="Times New Roman" w:cs="Times New Roman"/>
          <w:lang w:val="en-CA"/>
        </w:rPr>
        <w:t>0</w:t>
      </w:r>
      <w:r w:rsidR="00CC247D">
        <w:rPr>
          <w:rFonts w:ascii="Times New Roman" w:hAnsi="Times New Roman" w:cs="Times New Roman"/>
          <w:lang w:val="en-CA"/>
        </w:rPr>
        <w:tab/>
        <w:t xml:space="preserve">     </w:t>
      </w:r>
      <w:r w:rsidR="00701D00">
        <w:rPr>
          <w:rFonts w:ascii="Times New Roman" w:hAnsi="Times New Roman" w:cs="Times New Roman"/>
          <w:lang w:val="en-CA"/>
        </w:rPr>
        <w:tab/>
      </w:r>
      <w:r w:rsidR="004F3F4E" w:rsidRPr="00333FA2">
        <w:rPr>
          <w:rFonts w:ascii="Times New Roman" w:hAnsi="Times New Roman" w:cs="Times New Roman"/>
          <w:lang w:val="en-CA"/>
        </w:rPr>
        <w:t>0     Pro-old universalism</w:t>
      </w:r>
      <w:r>
        <w:rPr>
          <w:rFonts w:ascii="Times New Roman" w:hAnsi="Times New Roman" w:cs="Times New Roman"/>
          <w:lang w:val="en-CA"/>
        </w:rPr>
        <w:t xml:space="preserve"> (</w:t>
      </w:r>
      <w:r w:rsidR="00701D00">
        <w:rPr>
          <w:rFonts w:ascii="Times New Roman" w:hAnsi="Times New Roman" w:cs="Times New Roman"/>
          <w:lang w:val="en-CA"/>
        </w:rPr>
        <w:t>GR, IT, PT, ES</w:t>
      </w:r>
      <w:r>
        <w:rPr>
          <w:rFonts w:ascii="Times New Roman" w:hAnsi="Times New Roman" w:cs="Times New Roman"/>
          <w:lang w:val="en-CA"/>
        </w:rPr>
        <w:t>)</w:t>
      </w:r>
    </w:p>
    <w:p w14:paraId="47F774AA" w14:textId="17D61161" w:rsidR="004F3F4E" w:rsidRPr="00333FA2" w:rsidRDefault="00872DD5" w:rsidP="008B6D40">
      <w:pPr>
        <w:pBdr>
          <w:top w:val="single" w:sz="4" w:space="1" w:color="auto"/>
          <w:bottom w:val="single" w:sz="4" w:space="1" w:color="auto"/>
        </w:pBdr>
        <w:spacing w:line="360" w:lineRule="auto"/>
        <w:jc w:val="both"/>
        <w:rPr>
          <w:rFonts w:ascii="Times New Roman" w:hAnsi="Times New Roman" w:cs="Times New Roman"/>
          <w:lang w:val="en-CA"/>
        </w:rPr>
      </w:pPr>
      <w:r>
        <w:rPr>
          <w:rFonts w:ascii="Times New Roman" w:hAnsi="Times New Roman" w:cs="Times New Roman"/>
          <w:lang w:val="en-CA"/>
        </w:rPr>
        <w:t>3</w:t>
      </w:r>
      <w:r w:rsidR="004F3F4E">
        <w:rPr>
          <w:rFonts w:ascii="Times New Roman" w:hAnsi="Times New Roman" w:cs="Times New Roman"/>
          <w:lang w:val="en-CA"/>
        </w:rPr>
        <w:tab/>
      </w:r>
      <w:r w:rsidR="004F3F4E">
        <w:rPr>
          <w:rFonts w:ascii="Times New Roman" w:hAnsi="Times New Roman" w:cs="Times New Roman"/>
          <w:lang w:val="en-CA"/>
        </w:rPr>
        <w:tab/>
        <w:t>1</w:t>
      </w:r>
      <w:r w:rsidR="004F3F4E">
        <w:rPr>
          <w:rFonts w:ascii="Times New Roman" w:hAnsi="Times New Roman" w:cs="Times New Roman"/>
          <w:lang w:val="en-CA"/>
        </w:rPr>
        <w:tab/>
        <w:t xml:space="preserve">        </w:t>
      </w:r>
      <w:r w:rsidR="004F3F4E">
        <w:rPr>
          <w:rFonts w:ascii="Times New Roman" w:hAnsi="Times New Roman" w:cs="Times New Roman"/>
          <w:lang w:val="en-CA"/>
        </w:rPr>
        <w:tab/>
      </w:r>
      <w:r>
        <w:rPr>
          <w:rFonts w:ascii="Times New Roman" w:hAnsi="Times New Roman" w:cs="Times New Roman"/>
          <w:lang w:val="en-CA"/>
        </w:rPr>
        <w:t>0</w:t>
      </w:r>
      <w:r>
        <w:rPr>
          <w:rFonts w:ascii="Times New Roman" w:hAnsi="Times New Roman" w:cs="Times New Roman"/>
          <w:lang w:val="en-CA"/>
        </w:rPr>
        <w:tab/>
      </w:r>
      <w:r w:rsidR="00CC247D">
        <w:rPr>
          <w:rFonts w:ascii="Times New Roman" w:hAnsi="Times New Roman" w:cs="Times New Roman"/>
          <w:lang w:val="en-CA"/>
        </w:rPr>
        <w:t xml:space="preserve">     </w:t>
      </w:r>
      <w:r w:rsidR="00701D00">
        <w:rPr>
          <w:rFonts w:ascii="Times New Roman" w:hAnsi="Times New Roman" w:cs="Times New Roman"/>
          <w:lang w:val="en-CA"/>
        </w:rPr>
        <w:tab/>
      </w:r>
      <w:r>
        <w:rPr>
          <w:rFonts w:ascii="Times New Roman" w:hAnsi="Times New Roman" w:cs="Times New Roman"/>
          <w:lang w:val="en-CA"/>
        </w:rPr>
        <w:t>1</w:t>
      </w:r>
      <w:r w:rsidR="004F3F4E" w:rsidRPr="00333FA2">
        <w:rPr>
          <w:rFonts w:ascii="Times New Roman" w:hAnsi="Times New Roman" w:cs="Times New Roman"/>
          <w:lang w:val="en-CA"/>
        </w:rPr>
        <w:t xml:space="preserve">    </w:t>
      </w:r>
      <w:r w:rsidR="006F4C29">
        <w:rPr>
          <w:rFonts w:ascii="Times New Roman" w:hAnsi="Times New Roman" w:cs="Times New Roman"/>
          <w:lang w:val="en-CA"/>
        </w:rPr>
        <w:t xml:space="preserve"> </w:t>
      </w:r>
      <w:r w:rsidR="004F3F4E" w:rsidRPr="00333FA2">
        <w:rPr>
          <w:rFonts w:ascii="Times New Roman" w:hAnsi="Times New Roman" w:cs="Times New Roman"/>
          <w:lang w:val="en-CA"/>
        </w:rPr>
        <w:t>Universalism</w:t>
      </w:r>
      <w:r>
        <w:rPr>
          <w:rFonts w:ascii="Times New Roman" w:hAnsi="Times New Roman" w:cs="Times New Roman"/>
          <w:lang w:val="en-CA"/>
        </w:rPr>
        <w:t xml:space="preserve"> (</w:t>
      </w:r>
      <w:r w:rsidR="00701D00">
        <w:rPr>
          <w:rFonts w:ascii="Times New Roman" w:hAnsi="Times New Roman" w:cs="Times New Roman"/>
          <w:lang w:val="en-CA"/>
        </w:rPr>
        <w:t>AT, FR, DE</w:t>
      </w:r>
      <w:r>
        <w:rPr>
          <w:rFonts w:ascii="Times New Roman" w:hAnsi="Times New Roman" w:cs="Times New Roman"/>
          <w:lang w:val="en-CA"/>
        </w:rPr>
        <w:t xml:space="preserve">) </w:t>
      </w:r>
    </w:p>
    <w:p w14:paraId="7B436B75" w14:textId="0A65801F" w:rsidR="004F3F4E" w:rsidRPr="00333FA2" w:rsidRDefault="004F3F4E" w:rsidP="008B6D40">
      <w:pPr>
        <w:pBdr>
          <w:top w:val="single" w:sz="4" w:space="1" w:color="auto"/>
          <w:bottom w:val="single" w:sz="4" w:space="1" w:color="auto"/>
        </w:pBdr>
        <w:spacing w:line="360" w:lineRule="auto"/>
        <w:jc w:val="both"/>
        <w:rPr>
          <w:rFonts w:ascii="Times New Roman" w:hAnsi="Times New Roman" w:cs="Times New Roman"/>
          <w:lang w:val="en-CA"/>
        </w:rPr>
      </w:pPr>
      <w:r>
        <w:rPr>
          <w:rFonts w:ascii="Times New Roman" w:hAnsi="Times New Roman" w:cs="Times New Roman"/>
          <w:lang w:val="en-CA"/>
        </w:rPr>
        <w:t>1</w:t>
      </w:r>
      <w:r>
        <w:rPr>
          <w:rFonts w:ascii="Times New Roman" w:hAnsi="Times New Roman" w:cs="Times New Roman"/>
          <w:lang w:val="en-CA"/>
        </w:rPr>
        <w:tab/>
      </w:r>
      <w:r>
        <w:rPr>
          <w:rFonts w:ascii="Times New Roman" w:hAnsi="Times New Roman" w:cs="Times New Roman"/>
          <w:lang w:val="en-CA"/>
        </w:rPr>
        <w:tab/>
        <w:t>0</w:t>
      </w:r>
      <w:r>
        <w:rPr>
          <w:rFonts w:ascii="Times New Roman" w:hAnsi="Times New Roman" w:cs="Times New Roman"/>
          <w:lang w:val="en-CA"/>
        </w:rPr>
        <w:tab/>
        <w:t xml:space="preserve">       </w:t>
      </w:r>
      <w:r>
        <w:rPr>
          <w:rFonts w:ascii="Times New Roman" w:hAnsi="Times New Roman" w:cs="Times New Roman"/>
          <w:lang w:val="en-CA"/>
        </w:rPr>
        <w:tab/>
      </w:r>
      <w:r w:rsidR="00872DD5">
        <w:rPr>
          <w:rFonts w:ascii="Times New Roman" w:hAnsi="Times New Roman" w:cs="Times New Roman"/>
          <w:lang w:val="en-CA"/>
        </w:rPr>
        <w:t>0</w:t>
      </w:r>
      <w:r w:rsidR="00872DD5">
        <w:rPr>
          <w:rFonts w:ascii="Times New Roman" w:hAnsi="Times New Roman" w:cs="Times New Roman"/>
          <w:lang w:val="en-CA"/>
        </w:rPr>
        <w:tab/>
      </w:r>
      <w:r w:rsidR="00CC247D">
        <w:rPr>
          <w:rFonts w:ascii="Times New Roman" w:hAnsi="Times New Roman" w:cs="Times New Roman"/>
          <w:lang w:val="en-CA"/>
        </w:rPr>
        <w:t xml:space="preserve">     </w:t>
      </w:r>
      <w:r w:rsidR="00701D00">
        <w:rPr>
          <w:rFonts w:ascii="Times New Roman" w:hAnsi="Times New Roman" w:cs="Times New Roman"/>
          <w:lang w:val="en-CA"/>
        </w:rPr>
        <w:tab/>
      </w:r>
      <w:r w:rsidRPr="00333FA2">
        <w:rPr>
          <w:rFonts w:ascii="Times New Roman" w:hAnsi="Times New Roman" w:cs="Times New Roman"/>
          <w:lang w:val="en-CA"/>
        </w:rPr>
        <w:t xml:space="preserve">0    </w:t>
      </w:r>
      <w:r w:rsidR="006F4C29">
        <w:rPr>
          <w:rFonts w:ascii="Times New Roman" w:hAnsi="Times New Roman" w:cs="Times New Roman"/>
          <w:lang w:val="en-CA"/>
        </w:rPr>
        <w:t xml:space="preserve"> </w:t>
      </w:r>
      <w:r w:rsidRPr="00333FA2">
        <w:rPr>
          <w:rFonts w:ascii="Times New Roman" w:hAnsi="Times New Roman" w:cs="Times New Roman"/>
          <w:lang w:val="en-CA"/>
        </w:rPr>
        <w:t>Pro-old residualism</w:t>
      </w:r>
      <w:r w:rsidR="00872DD5">
        <w:rPr>
          <w:rFonts w:ascii="Times New Roman" w:hAnsi="Times New Roman" w:cs="Times New Roman"/>
          <w:lang w:val="en-CA"/>
        </w:rPr>
        <w:t xml:space="preserve"> (</w:t>
      </w:r>
      <w:r w:rsidR="00701D00">
        <w:rPr>
          <w:rFonts w:ascii="Times New Roman" w:hAnsi="Times New Roman" w:cs="Times New Roman"/>
          <w:lang w:val="en-CA"/>
        </w:rPr>
        <w:t>JP</w:t>
      </w:r>
      <w:r w:rsidR="00872DD5">
        <w:rPr>
          <w:rFonts w:ascii="Times New Roman" w:hAnsi="Times New Roman" w:cs="Times New Roman"/>
          <w:lang w:val="en-CA"/>
        </w:rPr>
        <w:t>)</w:t>
      </w:r>
    </w:p>
    <w:p w14:paraId="647E4F34" w14:textId="55B04A6D" w:rsidR="004F3F4E" w:rsidRPr="00333FA2" w:rsidRDefault="004F3F4E" w:rsidP="008B6D40">
      <w:pPr>
        <w:pBdr>
          <w:top w:val="single" w:sz="4" w:space="1" w:color="auto"/>
          <w:bottom w:val="single" w:sz="4" w:space="1" w:color="auto"/>
        </w:pBdr>
        <w:spacing w:line="360" w:lineRule="auto"/>
        <w:jc w:val="both"/>
        <w:rPr>
          <w:rFonts w:ascii="Times New Roman" w:hAnsi="Times New Roman" w:cs="Times New Roman"/>
          <w:lang w:val="en-CA"/>
        </w:rPr>
      </w:pPr>
      <w:r>
        <w:rPr>
          <w:rFonts w:ascii="Times New Roman" w:hAnsi="Times New Roman" w:cs="Times New Roman"/>
          <w:lang w:val="en-CA"/>
        </w:rPr>
        <w:t>1</w:t>
      </w:r>
      <w:r>
        <w:rPr>
          <w:rFonts w:ascii="Times New Roman" w:hAnsi="Times New Roman" w:cs="Times New Roman"/>
          <w:lang w:val="en-CA"/>
        </w:rPr>
        <w:tab/>
      </w:r>
      <w:r>
        <w:rPr>
          <w:rFonts w:ascii="Times New Roman" w:hAnsi="Times New Roman" w:cs="Times New Roman"/>
          <w:lang w:val="en-CA"/>
        </w:rPr>
        <w:tab/>
        <w:t>1</w:t>
      </w:r>
      <w:r>
        <w:rPr>
          <w:rFonts w:ascii="Times New Roman" w:hAnsi="Times New Roman" w:cs="Times New Roman"/>
          <w:lang w:val="en-CA"/>
        </w:rPr>
        <w:tab/>
        <w:t xml:space="preserve">        </w:t>
      </w:r>
      <w:r>
        <w:rPr>
          <w:rFonts w:ascii="Times New Roman" w:hAnsi="Times New Roman" w:cs="Times New Roman"/>
          <w:lang w:val="en-CA"/>
        </w:rPr>
        <w:tab/>
      </w:r>
      <w:r w:rsidR="00872DD5">
        <w:rPr>
          <w:rFonts w:ascii="Times New Roman" w:hAnsi="Times New Roman" w:cs="Times New Roman"/>
          <w:lang w:val="en-CA"/>
        </w:rPr>
        <w:t>1</w:t>
      </w:r>
      <w:r w:rsidR="00872DD5">
        <w:rPr>
          <w:rFonts w:ascii="Times New Roman" w:hAnsi="Times New Roman" w:cs="Times New Roman"/>
          <w:lang w:val="en-CA"/>
        </w:rPr>
        <w:tab/>
      </w:r>
      <w:r w:rsidR="00CC247D">
        <w:rPr>
          <w:rFonts w:ascii="Times New Roman" w:hAnsi="Times New Roman" w:cs="Times New Roman"/>
          <w:lang w:val="en-CA"/>
        </w:rPr>
        <w:t xml:space="preserve">     </w:t>
      </w:r>
      <w:r w:rsidR="00701D00">
        <w:rPr>
          <w:rFonts w:ascii="Times New Roman" w:hAnsi="Times New Roman" w:cs="Times New Roman"/>
          <w:lang w:val="en-CA"/>
        </w:rPr>
        <w:tab/>
      </w:r>
      <w:r w:rsidR="00872DD5">
        <w:rPr>
          <w:rFonts w:ascii="Times New Roman" w:hAnsi="Times New Roman" w:cs="Times New Roman"/>
          <w:lang w:val="en-CA"/>
        </w:rPr>
        <w:t>0</w:t>
      </w:r>
      <w:r w:rsidRPr="00333FA2">
        <w:rPr>
          <w:rFonts w:ascii="Times New Roman" w:hAnsi="Times New Roman" w:cs="Times New Roman"/>
          <w:lang w:val="en-CA"/>
        </w:rPr>
        <w:t xml:space="preserve"> </w:t>
      </w:r>
      <w:r w:rsidR="00872DD5">
        <w:rPr>
          <w:rFonts w:ascii="Times New Roman" w:hAnsi="Times New Roman" w:cs="Times New Roman"/>
          <w:lang w:val="en-CA"/>
        </w:rPr>
        <w:t xml:space="preserve">    (N</w:t>
      </w:r>
      <w:r w:rsidR="00701D00">
        <w:rPr>
          <w:rFonts w:ascii="Times New Roman" w:hAnsi="Times New Roman" w:cs="Times New Roman"/>
          <w:lang w:val="en-CA"/>
        </w:rPr>
        <w:t>Z</w:t>
      </w:r>
      <w:r w:rsidR="00872DD5">
        <w:rPr>
          <w:rFonts w:ascii="Times New Roman" w:hAnsi="Times New Roman" w:cs="Times New Roman"/>
          <w:lang w:val="en-CA"/>
        </w:rPr>
        <w:t>)</w:t>
      </w:r>
      <w:r w:rsidRPr="00333FA2">
        <w:rPr>
          <w:rFonts w:ascii="Times New Roman" w:hAnsi="Times New Roman" w:cs="Times New Roman"/>
          <w:lang w:val="en-CA"/>
        </w:rPr>
        <w:tab/>
      </w:r>
    </w:p>
    <w:p w14:paraId="5CB166B7" w14:textId="390DF53C" w:rsidR="004F3F4E" w:rsidRPr="00333FA2" w:rsidRDefault="00872DD5" w:rsidP="008B6D40">
      <w:pPr>
        <w:pBdr>
          <w:top w:val="single" w:sz="4" w:space="1" w:color="auto"/>
          <w:bottom w:val="single" w:sz="4" w:space="1" w:color="auto"/>
        </w:pBdr>
        <w:spacing w:line="360" w:lineRule="auto"/>
        <w:jc w:val="both"/>
        <w:rPr>
          <w:rFonts w:ascii="Times New Roman" w:hAnsi="Times New Roman" w:cs="Times New Roman"/>
          <w:lang w:val="en-CA"/>
        </w:rPr>
      </w:pPr>
      <w:r>
        <w:rPr>
          <w:rFonts w:ascii="Times New Roman" w:hAnsi="Times New Roman" w:cs="Times New Roman"/>
          <w:lang w:val="en-CA"/>
        </w:rPr>
        <w:t>1</w:t>
      </w:r>
      <w:r>
        <w:rPr>
          <w:rFonts w:ascii="Times New Roman" w:hAnsi="Times New Roman" w:cs="Times New Roman"/>
          <w:lang w:val="en-CA"/>
        </w:rPr>
        <w:tab/>
      </w:r>
      <w:r>
        <w:rPr>
          <w:rFonts w:ascii="Times New Roman" w:hAnsi="Times New Roman" w:cs="Times New Roman"/>
          <w:lang w:val="en-CA"/>
        </w:rPr>
        <w:tab/>
        <w:t>0</w:t>
      </w:r>
      <w:r w:rsidR="004F3F4E">
        <w:rPr>
          <w:rFonts w:ascii="Times New Roman" w:hAnsi="Times New Roman" w:cs="Times New Roman"/>
          <w:lang w:val="en-CA"/>
        </w:rPr>
        <w:tab/>
        <w:t xml:space="preserve">        </w:t>
      </w:r>
      <w:r w:rsidR="004F3F4E">
        <w:rPr>
          <w:rFonts w:ascii="Times New Roman" w:hAnsi="Times New Roman" w:cs="Times New Roman"/>
          <w:lang w:val="en-CA"/>
        </w:rPr>
        <w:tab/>
      </w:r>
      <w:r>
        <w:rPr>
          <w:rFonts w:ascii="Times New Roman" w:hAnsi="Times New Roman" w:cs="Times New Roman"/>
          <w:lang w:val="en-CA"/>
        </w:rPr>
        <w:t>1</w:t>
      </w:r>
      <w:r>
        <w:rPr>
          <w:rFonts w:ascii="Times New Roman" w:hAnsi="Times New Roman" w:cs="Times New Roman"/>
          <w:lang w:val="en-CA"/>
        </w:rPr>
        <w:tab/>
      </w:r>
      <w:r w:rsidR="00CC247D">
        <w:rPr>
          <w:rFonts w:ascii="Times New Roman" w:hAnsi="Times New Roman" w:cs="Times New Roman"/>
          <w:lang w:val="en-CA"/>
        </w:rPr>
        <w:t xml:space="preserve">     </w:t>
      </w:r>
      <w:r w:rsidR="00701D00">
        <w:rPr>
          <w:rFonts w:ascii="Times New Roman" w:hAnsi="Times New Roman" w:cs="Times New Roman"/>
          <w:lang w:val="en-CA"/>
        </w:rPr>
        <w:tab/>
      </w:r>
      <w:r w:rsidR="004F3F4E" w:rsidRPr="00333FA2">
        <w:rPr>
          <w:rFonts w:ascii="Times New Roman" w:hAnsi="Times New Roman" w:cs="Times New Roman"/>
          <w:lang w:val="en-CA"/>
        </w:rPr>
        <w:t>1</w:t>
      </w:r>
      <w:r>
        <w:rPr>
          <w:rFonts w:ascii="Times New Roman" w:hAnsi="Times New Roman" w:cs="Times New Roman"/>
          <w:lang w:val="en-CA"/>
        </w:rPr>
        <w:t xml:space="preserve">    </w:t>
      </w:r>
      <w:r w:rsidR="006F4C29">
        <w:rPr>
          <w:rFonts w:ascii="Times New Roman" w:hAnsi="Times New Roman" w:cs="Times New Roman"/>
          <w:lang w:val="en-CA"/>
        </w:rPr>
        <w:t xml:space="preserve"> </w:t>
      </w:r>
      <w:r>
        <w:rPr>
          <w:rFonts w:ascii="Times New Roman" w:hAnsi="Times New Roman" w:cs="Times New Roman"/>
          <w:lang w:val="en-CA"/>
        </w:rPr>
        <w:t>(</w:t>
      </w:r>
      <w:r w:rsidR="00701D00">
        <w:rPr>
          <w:rFonts w:ascii="Times New Roman" w:hAnsi="Times New Roman" w:cs="Times New Roman"/>
          <w:lang w:val="en-CA"/>
        </w:rPr>
        <w:t>NE</w:t>
      </w:r>
      <w:r>
        <w:rPr>
          <w:rFonts w:ascii="Times New Roman" w:hAnsi="Times New Roman" w:cs="Times New Roman"/>
          <w:lang w:val="en-CA"/>
        </w:rPr>
        <w:t>)</w:t>
      </w:r>
    </w:p>
    <w:p w14:paraId="1CBE58BE" w14:textId="5B62BF8C" w:rsidR="004F3F4E" w:rsidRPr="00333FA2" w:rsidRDefault="004F3F4E" w:rsidP="008B6D40">
      <w:pPr>
        <w:pBdr>
          <w:top w:val="single" w:sz="4" w:space="1" w:color="auto"/>
          <w:bottom w:val="single" w:sz="4" w:space="1" w:color="auto"/>
        </w:pBdr>
        <w:spacing w:line="276" w:lineRule="auto"/>
        <w:jc w:val="both"/>
        <w:rPr>
          <w:rFonts w:ascii="Times New Roman" w:hAnsi="Times New Roman" w:cs="Times New Roman"/>
          <w:lang w:val="en-CA"/>
        </w:rPr>
      </w:pPr>
      <w:r w:rsidRPr="00333FA2">
        <w:rPr>
          <w:rFonts w:ascii="Times New Roman" w:hAnsi="Times New Roman" w:cs="Times New Roman"/>
          <w:lang w:val="en-CA"/>
        </w:rPr>
        <w:tab/>
      </w:r>
    </w:p>
    <w:p w14:paraId="4618E56A" w14:textId="77777777" w:rsidR="00380B73" w:rsidRPr="00333FA2" w:rsidRDefault="00380B73" w:rsidP="00380B73">
      <w:pPr>
        <w:spacing w:line="480" w:lineRule="auto"/>
        <w:ind w:right="-942"/>
        <w:jc w:val="both"/>
        <w:rPr>
          <w:rFonts w:ascii="Times New Roman" w:hAnsi="Times New Roman" w:cs="Times New Roman"/>
          <w:shd w:val="clear" w:color="auto" w:fill="FFFFFF"/>
          <w:lang w:val="en-CA"/>
        </w:rPr>
      </w:pPr>
    </w:p>
    <w:p w14:paraId="4425DC6A" w14:textId="3C8159BB" w:rsidR="00380B73" w:rsidRPr="00333FA2" w:rsidRDefault="00380B73" w:rsidP="00380B73">
      <w:pPr>
        <w:spacing w:line="480" w:lineRule="auto"/>
        <w:ind w:right="50"/>
        <w:jc w:val="both"/>
        <w:rPr>
          <w:rFonts w:ascii="Times New Roman" w:hAnsi="Times New Roman" w:cs="Times New Roman"/>
          <w:shd w:val="clear" w:color="auto" w:fill="FFFFFF"/>
          <w:lang w:val="en-CA"/>
        </w:rPr>
      </w:pPr>
      <w:r>
        <w:rPr>
          <w:rFonts w:ascii="Times New Roman" w:hAnsi="Times New Roman" w:cs="Times New Roman"/>
          <w:b/>
          <w:lang w:val="en-CA"/>
        </w:rPr>
        <w:tab/>
      </w:r>
      <w:r w:rsidRPr="00333FA2">
        <w:rPr>
          <w:rFonts w:ascii="Times New Roman" w:hAnsi="Times New Roman" w:cs="Times New Roman"/>
          <w:shd w:val="clear" w:color="auto" w:fill="FFFFFF"/>
          <w:lang w:val="en-CA"/>
        </w:rPr>
        <w:t xml:space="preserve">The most common configuration (N = 6) is the residual welfare state, with pro-poor targeting but little poverty reduction. It includes most English-speaking countries (except New Zealand) and Switzerland. This is Esping-Andersen’s liberal welfare state par excellence. </w:t>
      </w:r>
      <w:r>
        <w:rPr>
          <w:rFonts w:ascii="Times New Roman" w:hAnsi="Times New Roman" w:cs="Times New Roman"/>
          <w:shd w:val="clear" w:color="auto" w:fill="FFFFFF"/>
          <w:lang w:val="en-CA"/>
        </w:rPr>
        <w:t xml:space="preserve">These are also the countries where income support for working age adults proves the most </w:t>
      </w:r>
      <w:r w:rsidR="00180065">
        <w:rPr>
          <w:rFonts w:ascii="Times New Roman" w:hAnsi="Times New Roman" w:cs="Times New Roman"/>
          <w:shd w:val="clear" w:color="auto" w:fill="FFFFFF"/>
          <w:lang w:val="en-CA"/>
        </w:rPr>
        <w:t xml:space="preserve">conflictual between income groups </w:t>
      </w:r>
      <w:r>
        <w:rPr>
          <w:rFonts w:ascii="Times New Roman" w:hAnsi="Times New Roman" w:cs="Times New Roman"/>
          <w:shd w:val="clear" w:color="auto" w:fill="FFFFFF"/>
          <w:lang w:val="en-CA"/>
        </w:rPr>
        <w:t>(Deeming</w:t>
      </w:r>
      <w:r w:rsidR="00C850AC">
        <w:rPr>
          <w:rFonts w:ascii="Times New Roman" w:hAnsi="Times New Roman" w:cs="Times New Roman"/>
          <w:shd w:val="clear" w:color="auto" w:fill="FFFFFF"/>
          <w:lang w:val="en-CA"/>
        </w:rPr>
        <w:t>,</w:t>
      </w:r>
      <w:r>
        <w:rPr>
          <w:rFonts w:ascii="Times New Roman" w:hAnsi="Times New Roman" w:cs="Times New Roman"/>
          <w:shd w:val="clear" w:color="auto" w:fill="FFFFFF"/>
          <w:lang w:val="en-CA"/>
        </w:rPr>
        <w:t xml:space="preserve"> 2018). </w:t>
      </w:r>
      <w:r w:rsidRPr="00333FA2">
        <w:rPr>
          <w:rFonts w:ascii="Times New Roman" w:hAnsi="Times New Roman" w:cs="Times New Roman"/>
          <w:shd w:val="clear" w:color="auto" w:fill="FFFFFF"/>
          <w:lang w:val="en-CA"/>
        </w:rPr>
        <w:t>Fo</w:t>
      </w:r>
      <w:r w:rsidR="00947BDB">
        <w:rPr>
          <w:rFonts w:ascii="Times New Roman" w:hAnsi="Times New Roman" w:cs="Times New Roman"/>
          <w:shd w:val="clear" w:color="auto" w:fill="FFFFFF"/>
          <w:lang w:val="en-CA"/>
        </w:rPr>
        <w:t>llowing closely (N = 5</w:t>
      </w:r>
      <w:r w:rsidRPr="00333FA2">
        <w:rPr>
          <w:rFonts w:ascii="Times New Roman" w:hAnsi="Times New Roman" w:cs="Times New Roman"/>
          <w:shd w:val="clear" w:color="auto" w:fill="FFFFFF"/>
          <w:lang w:val="en-CA"/>
        </w:rPr>
        <w:t>) are countries that practice targeting within universalism (the Nordics plus Belgium): universalist, pro-poor and successful at poverty reduction, largely because they have</w:t>
      </w:r>
      <w:r w:rsidR="00AA29C7">
        <w:rPr>
          <w:rFonts w:ascii="Times New Roman" w:hAnsi="Times New Roman" w:cs="Times New Roman"/>
          <w:shd w:val="clear" w:color="auto" w:fill="FFFFFF"/>
          <w:lang w:val="en-CA"/>
        </w:rPr>
        <w:t xml:space="preserve"> solid pension programs for all and</w:t>
      </w:r>
      <w:r w:rsidRPr="00333FA2">
        <w:rPr>
          <w:rFonts w:ascii="Times New Roman" w:hAnsi="Times New Roman" w:cs="Times New Roman"/>
          <w:shd w:val="clear" w:color="auto" w:fill="FFFFFF"/>
          <w:lang w:val="en-CA"/>
        </w:rPr>
        <w:t xml:space="preserve"> high levels of cash transfers</w:t>
      </w:r>
      <w:r w:rsidR="00AA29C7">
        <w:rPr>
          <w:rFonts w:ascii="Times New Roman" w:hAnsi="Times New Roman" w:cs="Times New Roman"/>
          <w:shd w:val="clear" w:color="auto" w:fill="FFFFFF"/>
          <w:lang w:val="en-CA"/>
        </w:rPr>
        <w:t xml:space="preserve"> for working age adults. Nearby are three</w:t>
      </w:r>
      <w:r w:rsidRPr="00333FA2">
        <w:rPr>
          <w:rFonts w:ascii="Times New Roman" w:hAnsi="Times New Roman" w:cs="Times New Roman"/>
          <w:shd w:val="clear" w:color="auto" w:fill="FFFFFF"/>
          <w:lang w:val="en-CA"/>
        </w:rPr>
        <w:t xml:space="preserve"> cases that share all the characteristics of the Nordics, except that they do not </w:t>
      </w:r>
      <w:r w:rsidR="00AA29C7">
        <w:rPr>
          <w:rFonts w:ascii="Times New Roman" w:hAnsi="Times New Roman" w:cs="Times New Roman"/>
          <w:shd w:val="clear" w:color="auto" w:fill="FFFFFF"/>
          <w:lang w:val="en-CA"/>
        </w:rPr>
        <w:t xml:space="preserve">target the poor (Austria, </w:t>
      </w:r>
      <w:r w:rsidRPr="00333FA2">
        <w:rPr>
          <w:rFonts w:ascii="Times New Roman" w:hAnsi="Times New Roman" w:cs="Times New Roman"/>
          <w:shd w:val="clear" w:color="auto" w:fill="FFFFFF"/>
          <w:lang w:val="en-CA"/>
        </w:rPr>
        <w:t>France</w:t>
      </w:r>
      <w:r w:rsidR="00AA29C7">
        <w:rPr>
          <w:rFonts w:ascii="Times New Roman" w:hAnsi="Times New Roman" w:cs="Times New Roman"/>
          <w:shd w:val="clear" w:color="auto" w:fill="FFFFFF"/>
          <w:lang w:val="en-CA"/>
        </w:rPr>
        <w:t>, and Germany</w:t>
      </w:r>
      <w:r w:rsidRPr="00333FA2">
        <w:rPr>
          <w:rFonts w:ascii="Times New Roman" w:hAnsi="Times New Roman" w:cs="Times New Roman"/>
          <w:shd w:val="clear" w:color="auto" w:fill="FFFFFF"/>
          <w:lang w:val="en-CA"/>
        </w:rPr>
        <w:t xml:space="preserve">). These welfare states are classically universalist and do well regarding poverty, because they devote generous resources to working age adults. The third most important group (N = 4) includes four identical cases of </w:t>
      </w:r>
      <w:r w:rsidR="00AA29C7">
        <w:rPr>
          <w:rFonts w:ascii="Times New Roman" w:hAnsi="Times New Roman" w:cs="Times New Roman"/>
          <w:shd w:val="clear" w:color="auto" w:fill="FFFFFF"/>
          <w:lang w:val="en-CA"/>
        </w:rPr>
        <w:t>pro-old</w:t>
      </w:r>
      <w:r w:rsidRPr="00333FA2">
        <w:rPr>
          <w:rFonts w:ascii="Times New Roman" w:hAnsi="Times New Roman" w:cs="Times New Roman"/>
          <w:shd w:val="clear" w:color="auto" w:fill="FFFFFF"/>
          <w:lang w:val="en-CA"/>
        </w:rPr>
        <w:t xml:space="preserve"> universalism, the Mediterranean countries, which are universal </w:t>
      </w:r>
      <w:r w:rsidRPr="00333FA2">
        <w:rPr>
          <w:rFonts w:ascii="Times New Roman" w:hAnsi="Times New Roman" w:cs="Times New Roman"/>
          <w:shd w:val="clear" w:color="auto" w:fill="FFFFFF"/>
          <w:lang w:val="en-CA"/>
        </w:rPr>
        <w:lastRenderedPageBreak/>
        <w:t>but not pro-poor and</w:t>
      </w:r>
      <w:r w:rsidR="00B25F56">
        <w:rPr>
          <w:rFonts w:ascii="Times New Roman" w:hAnsi="Times New Roman" w:cs="Times New Roman"/>
          <w:shd w:val="clear" w:color="auto" w:fill="FFFFFF"/>
          <w:lang w:val="en-CA"/>
        </w:rPr>
        <w:t xml:space="preserve"> </w:t>
      </w:r>
      <w:r w:rsidRPr="00333FA2">
        <w:rPr>
          <w:rFonts w:ascii="Times New Roman" w:hAnsi="Times New Roman" w:cs="Times New Roman"/>
          <w:shd w:val="clear" w:color="auto" w:fill="FFFFFF"/>
          <w:lang w:val="en-CA"/>
        </w:rPr>
        <w:t>low spenders on working age transfers</w:t>
      </w:r>
      <w:r w:rsidR="000B222D">
        <w:rPr>
          <w:rFonts w:ascii="Times New Roman" w:hAnsi="Times New Roman" w:cs="Times New Roman"/>
          <w:shd w:val="clear" w:color="auto" w:fill="FFFFFF"/>
          <w:lang w:val="en-CA"/>
        </w:rPr>
        <w:t>,</w:t>
      </w:r>
      <w:r w:rsidR="00B94CF2">
        <w:rPr>
          <w:rFonts w:ascii="Times New Roman" w:hAnsi="Times New Roman" w:cs="Times New Roman"/>
          <w:shd w:val="clear" w:color="auto" w:fill="FFFFFF"/>
          <w:lang w:val="en-CA"/>
        </w:rPr>
        <w:t xml:space="preserve"> </w:t>
      </w:r>
      <w:r w:rsidR="006A26B7">
        <w:rPr>
          <w:rFonts w:ascii="Times New Roman" w:hAnsi="Times New Roman" w:cs="Times New Roman"/>
          <w:shd w:val="clear" w:color="auto" w:fill="FFFFFF"/>
          <w:lang w:val="en-CA"/>
        </w:rPr>
        <w:t xml:space="preserve">a characteristic that </w:t>
      </w:r>
      <w:r w:rsidR="00B94CF2">
        <w:rPr>
          <w:rFonts w:ascii="Times New Roman" w:hAnsi="Times New Roman" w:cs="Times New Roman"/>
          <w:shd w:val="clear" w:color="auto" w:fill="FFFFFF"/>
          <w:lang w:val="en-CA"/>
        </w:rPr>
        <w:t>prevents them from achieving significant poverty reduction</w:t>
      </w:r>
      <w:r w:rsidRPr="00333FA2">
        <w:rPr>
          <w:rFonts w:ascii="Times New Roman" w:hAnsi="Times New Roman" w:cs="Times New Roman"/>
          <w:shd w:val="clear" w:color="auto" w:fill="FFFFFF"/>
          <w:lang w:val="en-CA"/>
        </w:rPr>
        <w:t>. The remaining cases are borderline</w:t>
      </w:r>
      <w:r w:rsidR="008B7671">
        <w:rPr>
          <w:rFonts w:ascii="Times New Roman" w:hAnsi="Times New Roman" w:cs="Times New Roman"/>
          <w:shd w:val="clear" w:color="auto" w:fill="FFFFFF"/>
          <w:lang w:val="en-CA"/>
        </w:rPr>
        <w:t>:</w:t>
      </w:r>
      <w:r w:rsidRPr="00333FA2">
        <w:rPr>
          <w:rFonts w:ascii="Times New Roman" w:hAnsi="Times New Roman" w:cs="Times New Roman"/>
          <w:shd w:val="clear" w:color="auto" w:fill="FFFFFF"/>
          <w:lang w:val="en-CA"/>
        </w:rPr>
        <w:t xml:space="preserve"> the Netherlands, not too far from the targeting within universalism pattern, </w:t>
      </w:r>
      <w:r w:rsidR="008B7671">
        <w:rPr>
          <w:rFonts w:ascii="Times New Roman" w:hAnsi="Times New Roman" w:cs="Times New Roman"/>
          <w:shd w:val="clear" w:color="auto" w:fill="FFFFFF"/>
          <w:lang w:val="en-CA"/>
        </w:rPr>
        <w:t>and</w:t>
      </w:r>
      <w:r w:rsidRPr="00333FA2">
        <w:rPr>
          <w:rFonts w:ascii="Times New Roman" w:hAnsi="Times New Roman" w:cs="Times New Roman"/>
          <w:shd w:val="clear" w:color="auto" w:fill="FFFFFF"/>
          <w:lang w:val="en-CA"/>
        </w:rPr>
        <w:t xml:space="preserve"> New Zealand, near the targeting model</w:t>
      </w:r>
      <w:r w:rsidR="000723C7">
        <w:rPr>
          <w:rFonts w:ascii="Times New Roman" w:hAnsi="Times New Roman" w:cs="Times New Roman"/>
          <w:shd w:val="clear" w:color="auto" w:fill="FFFFFF"/>
          <w:lang w:val="en-CA"/>
        </w:rPr>
        <w:t xml:space="preserve"> because of its low level of social expenditure</w:t>
      </w:r>
      <w:r w:rsidR="000B222D">
        <w:rPr>
          <w:rFonts w:ascii="Times New Roman" w:hAnsi="Times New Roman" w:cs="Times New Roman"/>
          <w:shd w:val="clear" w:color="auto" w:fill="FFFFFF"/>
          <w:lang w:val="en-CA"/>
        </w:rPr>
        <w:t>s</w:t>
      </w:r>
      <w:r w:rsidRPr="00333FA2">
        <w:rPr>
          <w:rFonts w:ascii="Times New Roman" w:hAnsi="Times New Roman" w:cs="Times New Roman"/>
          <w:shd w:val="clear" w:color="auto" w:fill="FFFFFF"/>
          <w:lang w:val="en-CA"/>
        </w:rPr>
        <w:t xml:space="preserve">. More distinctive is the case of Japan, displaying a pattern on its own: pro-old residualism. </w:t>
      </w:r>
    </w:p>
    <w:p w14:paraId="0A2F25BE" w14:textId="7BD8815A" w:rsidR="00AA29C7" w:rsidRDefault="00AA29C7" w:rsidP="00380B73">
      <w:pPr>
        <w:spacing w:line="480" w:lineRule="auto"/>
        <w:ind w:right="50"/>
        <w:jc w:val="both"/>
        <w:rPr>
          <w:rFonts w:ascii="Times New Roman" w:hAnsi="Times New Roman" w:cs="Times New Roman"/>
          <w:shd w:val="clear" w:color="auto" w:fill="FFFFFF"/>
          <w:lang w:val="en-CA"/>
        </w:rPr>
      </w:pPr>
    </w:p>
    <w:p w14:paraId="3BE75CD2" w14:textId="5A6A4C18" w:rsidR="00AA29C7" w:rsidRDefault="00AA29C7" w:rsidP="00380B73">
      <w:pPr>
        <w:spacing w:line="480" w:lineRule="auto"/>
        <w:ind w:right="50"/>
        <w:jc w:val="both"/>
        <w:rPr>
          <w:rFonts w:ascii="Times New Roman" w:hAnsi="Times New Roman" w:cs="Times New Roman"/>
          <w:b/>
          <w:shd w:val="clear" w:color="auto" w:fill="FFFFFF"/>
          <w:lang w:val="en-CA"/>
        </w:rPr>
      </w:pPr>
      <w:r>
        <w:rPr>
          <w:rFonts w:ascii="Times New Roman" w:hAnsi="Times New Roman" w:cs="Times New Roman"/>
          <w:b/>
          <w:shd w:val="clear" w:color="auto" w:fill="FFFFFF"/>
          <w:lang w:val="en-CA"/>
        </w:rPr>
        <w:t>Conclusion</w:t>
      </w:r>
    </w:p>
    <w:p w14:paraId="3AF62E41" w14:textId="4DF8354E" w:rsidR="00030F43" w:rsidRDefault="00030F43" w:rsidP="00380B73">
      <w:pPr>
        <w:spacing w:line="480" w:lineRule="auto"/>
        <w:ind w:right="50"/>
        <w:jc w:val="both"/>
        <w:rPr>
          <w:rFonts w:ascii="Times New Roman" w:hAnsi="Times New Roman" w:cs="Times New Roman"/>
          <w:b/>
          <w:shd w:val="clear" w:color="auto" w:fill="FFFFFF"/>
          <w:lang w:val="en-CA"/>
        </w:rPr>
      </w:pPr>
    </w:p>
    <w:p w14:paraId="594B436A" w14:textId="73385887" w:rsidR="00231C70" w:rsidRDefault="00B94CF2" w:rsidP="00B94CF2">
      <w:pPr>
        <w:spacing w:line="480" w:lineRule="auto"/>
        <w:ind w:right="50"/>
        <w:jc w:val="both"/>
        <w:rPr>
          <w:rFonts w:ascii="Times New Roman" w:hAnsi="Times New Roman" w:cs="Times New Roman"/>
          <w:shd w:val="clear" w:color="auto" w:fill="FFFFFF"/>
          <w:lang w:val="en-CA"/>
        </w:rPr>
      </w:pPr>
      <w:r w:rsidRPr="007B7233">
        <w:rPr>
          <w:rFonts w:ascii="Times New Roman" w:hAnsi="Times New Roman" w:cs="Times New Roman"/>
          <w:b/>
          <w:shd w:val="clear" w:color="auto" w:fill="FFFFFF"/>
          <w:lang w:val="en-CA"/>
        </w:rPr>
        <w:tab/>
      </w:r>
      <w:r w:rsidRPr="007B7233">
        <w:rPr>
          <w:rFonts w:ascii="Times New Roman" w:hAnsi="Times New Roman" w:cs="Times New Roman"/>
          <w:shd w:val="clear" w:color="auto" w:fill="FFFFFF"/>
          <w:lang w:val="en-CA"/>
        </w:rPr>
        <w:t xml:space="preserve">This </w:t>
      </w:r>
      <w:r w:rsidR="000B222D">
        <w:rPr>
          <w:rFonts w:ascii="Times New Roman" w:hAnsi="Times New Roman" w:cs="Times New Roman"/>
          <w:shd w:val="clear" w:color="auto" w:fill="FFFFFF"/>
          <w:lang w:val="en-CA"/>
        </w:rPr>
        <w:t>article</w:t>
      </w:r>
      <w:r w:rsidR="000B222D" w:rsidRPr="007B7233">
        <w:rPr>
          <w:rFonts w:ascii="Times New Roman" w:hAnsi="Times New Roman" w:cs="Times New Roman"/>
          <w:shd w:val="clear" w:color="auto" w:fill="FFFFFF"/>
          <w:lang w:val="en-CA"/>
        </w:rPr>
        <w:t xml:space="preserve"> </w:t>
      </w:r>
      <w:r w:rsidRPr="007B7233">
        <w:rPr>
          <w:rFonts w:ascii="Times New Roman" w:hAnsi="Times New Roman" w:cs="Times New Roman"/>
          <w:shd w:val="clear" w:color="auto" w:fill="FFFFFF"/>
          <w:lang w:val="en-CA"/>
        </w:rPr>
        <w:t xml:space="preserve">seeks to give content to the widespread but poorly specified idea of targeting within universalism, which often sounds like an attempt to have one’s cake and eat it too. Our argument proceeds in four steps. First, </w:t>
      </w:r>
      <w:r w:rsidR="002D583F">
        <w:rPr>
          <w:rFonts w:ascii="Times New Roman" w:hAnsi="Times New Roman" w:cs="Times New Roman"/>
          <w:shd w:val="clear" w:color="auto" w:fill="FFFFFF"/>
          <w:lang w:val="en-CA"/>
        </w:rPr>
        <w:t xml:space="preserve">following Brady and Bostic (2015), </w:t>
      </w:r>
      <w:r w:rsidRPr="007B7233">
        <w:rPr>
          <w:rFonts w:ascii="Times New Roman" w:hAnsi="Times New Roman" w:cs="Times New Roman"/>
          <w:shd w:val="clear" w:color="auto" w:fill="FFFFFF"/>
          <w:lang w:val="en-CA"/>
        </w:rPr>
        <w:t>we explain that pro-poor targeting should not be seen as the opposite of universalism, but rather as a distinct aspect of the welfare state. The opposite of universalism can more usefully be understood as residualism. Once we do so, four welfare state possibilities emerge, combining a position on the universalism/residualism axis and one on the pro-poor/pro-</w:t>
      </w:r>
      <w:r w:rsidR="003F525E">
        <w:rPr>
          <w:rFonts w:ascii="Times New Roman" w:hAnsi="Times New Roman" w:cs="Times New Roman"/>
          <w:shd w:val="clear" w:color="auto" w:fill="FFFFFF"/>
          <w:lang w:val="en-CA"/>
        </w:rPr>
        <w:t>rich</w:t>
      </w:r>
      <w:r w:rsidRPr="007B7233">
        <w:rPr>
          <w:rFonts w:ascii="Times New Roman" w:hAnsi="Times New Roman" w:cs="Times New Roman"/>
          <w:shd w:val="clear" w:color="auto" w:fill="FFFFFF"/>
          <w:lang w:val="en-CA"/>
        </w:rPr>
        <w:t xml:space="preserve"> axis. Some universal welfare states target </w:t>
      </w:r>
      <w:r w:rsidR="00231C70">
        <w:rPr>
          <w:rFonts w:ascii="Times New Roman" w:hAnsi="Times New Roman" w:cs="Times New Roman"/>
          <w:shd w:val="clear" w:color="auto" w:fill="FFFFFF"/>
          <w:lang w:val="en-CA"/>
        </w:rPr>
        <w:t>the poor</w:t>
      </w:r>
      <w:r w:rsidR="003F525E">
        <w:rPr>
          <w:rFonts w:ascii="Times New Roman" w:hAnsi="Times New Roman" w:cs="Times New Roman"/>
          <w:shd w:val="clear" w:color="auto" w:fill="FFFFFF"/>
          <w:lang w:val="en-CA"/>
        </w:rPr>
        <w:t xml:space="preserve">, </w:t>
      </w:r>
      <w:r w:rsidRPr="007B7233">
        <w:rPr>
          <w:rFonts w:ascii="Times New Roman" w:hAnsi="Times New Roman" w:cs="Times New Roman"/>
          <w:shd w:val="clear" w:color="auto" w:fill="FFFFFF"/>
          <w:lang w:val="en-CA"/>
        </w:rPr>
        <w:t xml:space="preserve">others do not. </w:t>
      </w:r>
    </w:p>
    <w:p w14:paraId="18D05609" w14:textId="5FE66959" w:rsidR="000375AC" w:rsidRDefault="00B94CF2" w:rsidP="005150F1">
      <w:pPr>
        <w:spacing w:line="480" w:lineRule="auto"/>
        <w:ind w:right="50" w:firstLine="708"/>
        <w:jc w:val="both"/>
        <w:rPr>
          <w:rFonts w:ascii="Times New Roman" w:hAnsi="Times New Roman" w:cs="Times New Roman"/>
          <w:shd w:val="clear" w:color="auto" w:fill="FFFFFF"/>
          <w:lang w:val="en-CA"/>
        </w:rPr>
      </w:pPr>
      <w:r w:rsidRPr="007B7233">
        <w:rPr>
          <w:rFonts w:ascii="Times New Roman" w:hAnsi="Times New Roman" w:cs="Times New Roman"/>
          <w:shd w:val="clear" w:color="auto" w:fill="FFFFFF"/>
          <w:lang w:val="en-CA"/>
        </w:rPr>
        <w:t xml:space="preserve">Second, we </w:t>
      </w:r>
      <w:r w:rsidR="00DB0A4B">
        <w:rPr>
          <w:rFonts w:ascii="Times New Roman" w:hAnsi="Times New Roman" w:cs="Times New Roman"/>
          <w:shd w:val="clear" w:color="auto" w:fill="FFFFFF"/>
          <w:lang w:val="en-CA"/>
        </w:rPr>
        <w:t>analyze why</w:t>
      </w:r>
      <w:r w:rsidR="005150F1">
        <w:rPr>
          <w:rFonts w:ascii="Times New Roman" w:hAnsi="Times New Roman" w:cs="Times New Roman"/>
          <w:shd w:val="clear" w:color="auto" w:fill="FFFFFF"/>
          <w:lang w:val="en-CA"/>
        </w:rPr>
        <w:t xml:space="preserve"> one variant</w:t>
      </w:r>
      <w:r w:rsidR="00DB0A4B">
        <w:rPr>
          <w:rFonts w:ascii="Times New Roman" w:hAnsi="Times New Roman" w:cs="Times New Roman"/>
          <w:shd w:val="clear" w:color="auto" w:fill="FFFFFF"/>
          <w:lang w:val="en-CA"/>
        </w:rPr>
        <w:t xml:space="preserve"> of universalism</w:t>
      </w:r>
      <w:r w:rsidR="005150F1">
        <w:rPr>
          <w:rFonts w:ascii="Times New Roman" w:hAnsi="Times New Roman" w:cs="Times New Roman"/>
          <w:shd w:val="clear" w:color="auto" w:fill="FFFFFF"/>
          <w:lang w:val="en-CA"/>
        </w:rPr>
        <w:t xml:space="preserve"> is able to achieve pro-poor targeting without means test while the other offers pro-rich transfers. </w:t>
      </w:r>
      <w:r w:rsidR="00231C70">
        <w:rPr>
          <w:rFonts w:ascii="Times New Roman" w:hAnsi="Times New Roman" w:cs="Times New Roman"/>
          <w:shd w:val="clear" w:color="auto" w:fill="FFFFFF"/>
          <w:lang w:val="en-CA"/>
        </w:rPr>
        <w:t>Earnings-related pensions systems giving high replacements rates to well-to-do seniors are expensive and tend to be pro-rich. Such institutional design explain</w:t>
      </w:r>
      <w:r w:rsidR="000B222D">
        <w:rPr>
          <w:rFonts w:ascii="Times New Roman" w:hAnsi="Times New Roman" w:cs="Times New Roman"/>
          <w:shd w:val="clear" w:color="auto" w:fill="FFFFFF"/>
          <w:lang w:val="en-CA"/>
        </w:rPr>
        <w:t>s</w:t>
      </w:r>
      <w:r w:rsidR="00231C70">
        <w:rPr>
          <w:rFonts w:ascii="Times New Roman" w:hAnsi="Times New Roman" w:cs="Times New Roman"/>
          <w:shd w:val="clear" w:color="auto" w:fill="FFFFFF"/>
          <w:lang w:val="en-CA"/>
        </w:rPr>
        <w:t xml:space="preserve"> why high levels of pensions expenditures are </w:t>
      </w:r>
      <w:r w:rsidR="005150F1">
        <w:rPr>
          <w:rFonts w:ascii="Times New Roman" w:hAnsi="Times New Roman" w:cs="Times New Roman"/>
          <w:shd w:val="clear" w:color="auto" w:fill="FFFFFF"/>
          <w:lang w:val="en-CA"/>
        </w:rPr>
        <w:t>associated with pro-rich targeting.</w:t>
      </w:r>
      <w:r w:rsidR="00231C70">
        <w:rPr>
          <w:rFonts w:ascii="Times New Roman" w:hAnsi="Times New Roman" w:cs="Times New Roman"/>
          <w:shd w:val="clear" w:color="auto" w:fill="FFFFFF"/>
          <w:lang w:val="en-CA"/>
        </w:rPr>
        <w:t xml:space="preserve"> </w:t>
      </w:r>
      <w:r w:rsidR="005150F1">
        <w:rPr>
          <w:rFonts w:ascii="Times New Roman" w:hAnsi="Times New Roman" w:cs="Times New Roman"/>
          <w:shd w:val="clear" w:color="auto" w:fill="FFFFFF"/>
          <w:lang w:val="en-CA"/>
        </w:rPr>
        <w:t>Also</w:t>
      </w:r>
      <w:r w:rsidR="00231C70">
        <w:rPr>
          <w:rFonts w:ascii="Times New Roman" w:hAnsi="Times New Roman" w:cs="Times New Roman"/>
          <w:shd w:val="clear" w:color="auto" w:fill="FFFFFF"/>
          <w:lang w:val="en-CA"/>
        </w:rPr>
        <w:t xml:space="preserve">, because transfers </w:t>
      </w:r>
      <w:r w:rsidR="005150F1">
        <w:rPr>
          <w:rFonts w:ascii="Times New Roman" w:hAnsi="Times New Roman" w:cs="Times New Roman"/>
          <w:shd w:val="clear" w:color="auto" w:fill="FFFFFF"/>
          <w:lang w:val="en-CA"/>
        </w:rPr>
        <w:t xml:space="preserve">to the working age population </w:t>
      </w:r>
      <w:r w:rsidR="00231C70">
        <w:rPr>
          <w:rFonts w:ascii="Times New Roman" w:hAnsi="Times New Roman" w:cs="Times New Roman"/>
          <w:shd w:val="clear" w:color="auto" w:fill="FFFFFF"/>
          <w:lang w:val="en-CA"/>
        </w:rPr>
        <w:t xml:space="preserve">are often </w:t>
      </w:r>
      <w:r w:rsidR="001A286D">
        <w:rPr>
          <w:rFonts w:ascii="Times New Roman" w:hAnsi="Times New Roman" w:cs="Times New Roman"/>
          <w:shd w:val="clear" w:color="auto" w:fill="FFFFFF"/>
          <w:lang w:val="en-CA"/>
        </w:rPr>
        <w:t xml:space="preserve">offered </w:t>
      </w:r>
      <w:r w:rsidR="00231C70">
        <w:rPr>
          <w:rFonts w:ascii="Times New Roman" w:hAnsi="Times New Roman" w:cs="Times New Roman"/>
          <w:shd w:val="clear" w:color="auto" w:fill="FFFFFF"/>
          <w:lang w:val="en-CA"/>
        </w:rPr>
        <w:t xml:space="preserve">to </w:t>
      </w:r>
      <w:r w:rsidR="007E2C52">
        <w:rPr>
          <w:rFonts w:ascii="Times New Roman" w:hAnsi="Times New Roman" w:cs="Times New Roman"/>
          <w:shd w:val="clear" w:color="auto" w:fill="FFFFFF"/>
          <w:lang w:val="en-CA"/>
        </w:rPr>
        <w:t>poor</w:t>
      </w:r>
      <w:r w:rsidR="003F525E">
        <w:rPr>
          <w:rFonts w:ascii="Times New Roman" w:hAnsi="Times New Roman" w:cs="Times New Roman"/>
          <w:shd w:val="clear" w:color="auto" w:fill="FFFFFF"/>
          <w:lang w:val="en-CA"/>
        </w:rPr>
        <w:t>er</w:t>
      </w:r>
      <w:r w:rsidR="007E2C52">
        <w:rPr>
          <w:rFonts w:ascii="Times New Roman" w:hAnsi="Times New Roman" w:cs="Times New Roman"/>
          <w:shd w:val="clear" w:color="auto" w:fill="FFFFFF"/>
          <w:lang w:val="en-CA"/>
        </w:rPr>
        <w:t xml:space="preserve"> </w:t>
      </w:r>
      <w:r w:rsidR="00231C70">
        <w:rPr>
          <w:rFonts w:ascii="Times New Roman" w:hAnsi="Times New Roman" w:cs="Times New Roman"/>
          <w:shd w:val="clear" w:color="auto" w:fill="FFFFFF"/>
          <w:lang w:val="en-CA"/>
        </w:rPr>
        <w:t>categories of the population</w:t>
      </w:r>
      <w:r w:rsidR="005150F1">
        <w:rPr>
          <w:rFonts w:ascii="Times New Roman" w:hAnsi="Times New Roman" w:cs="Times New Roman"/>
          <w:shd w:val="clear" w:color="auto" w:fill="FFFFFF"/>
          <w:lang w:val="en-CA"/>
        </w:rPr>
        <w:t xml:space="preserve">, high levels of working age spending </w:t>
      </w:r>
      <w:r w:rsidR="007E2C52">
        <w:rPr>
          <w:rFonts w:ascii="Times New Roman" w:hAnsi="Times New Roman" w:cs="Times New Roman"/>
          <w:shd w:val="clear" w:color="auto" w:fill="FFFFFF"/>
          <w:lang w:val="en-CA"/>
        </w:rPr>
        <w:t>are</w:t>
      </w:r>
      <w:r w:rsidR="005150F1">
        <w:rPr>
          <w:rFonts w:ascii="Times New Roman" w:hAnsi="Times New Roman" w:cs="Times New Roman"/>
          <w:shd w:val="clear" w:color="auto" w:fill="FFFFFF"/>
          <w:lang w:val="en-CA"/>
        </w:rPr>
        <w:t xml:space="preserve"> associated with pro-poorness, especially among universal </w:t>
      </w:r>
      <w:r w:rsidR="005150F1">
        <w:rPr>
          <w:rFonts w:ascii="Times New Roman" w:hAnsi="Times New Roman" w:cs="Times New Roman"/>
          <w:shd w:val="clear" w:color="auto" w:fill="FFFFFF"/>
          <w:lang w:val="en-CA"/>
        </w:rPr>
        <w:lastRenderedPageBreak/>
        <w:t xml:space="preserve">welfare states. </w:t>
      </w:r>
      <w:r w:rsidR="004D1F6A">
        <w:rPr>
          <w:rFonts w:ascii="Times New Roman" w:hAnsi="Times New Roman" w:cs="Times New Roman"/>
          <w:shd w:val="clear" w:color="auto" w:fill="FFFFFF"/>
          <w:lang w:val="en-CA"/>
        </w:rPr>
        <w:t xml:space="preserve">Targeting within universalism is thus a combination of high social spending aimed at the working age population </w:t>
      </w:r>
      <w:r w:rsidR="003F525E">
        <w:rPr>
          <w:rFonts w:ascii="Times New Roman" w:hAnsi="Times New Roman" w:cs="Times New Roman"/>
          <w:shd w:val="clear" w:color="auto" w:fill="FFFFFF"/>
          <w:lang w:val="en-CA"/>
        </w:rPr>
        <w:t xml:space="preserve">with </w:t>
      </w:r>
      <w:r w:rsidR="004D1F6A">
        <w:rPr>
          <w:rFonts w:ascii="Times New Roman" w:hAnsi="Times New Roman" w:cs="Times New Roman"/>
          <w:shd w:val="clear" w:color="auto" w:fill="FFFFFF"/>
          <w:lang w:val="en-CA"/>
        </w:rPr>
        <w:t>limits on the degree of earnings relatedness of the pension system.</w:t>
      </w:r>
      <w:r w:rsidR="000375AC">
        <w:rPr>
          <w:rFonts w:ascii="Times New Roman" w:hAnsi="Times New Roman" w:cs="Times New Roman"/>
          <w:shd w:val="clear" w:color="auto" w:fill="FFFFFF"/>
          <w:lang w:val="en-CA"/>
        </w:rPr>
        <w:t xml:space="preserve"> </w:t>
      </w:r>
    </w:p>
    <w:p w14:paraId="4E1FBC3D" w14:textId="2C17CE5A" w:rsidR="000375AC" w:rsidRDefault="000375AC" w:rsidP="006E5E52">
      <w:pPr>
        <w:spacing w:line="480" w:lineRule="auto"/>
        <w:ind w:firstLine="708"/>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 xml:space="preserve">Sustaining targeting within universalism is challenging. </w:t>
      </w:r>
      <w:r w:rsidR="002E050B">
        <w:rPr>
          <w:rFonts w:ascii="Times New Roman" w:hAnsi="Times New Roman" w:cs="Times New Roman"/>
          <w:shd w:val="clear" w:color="auto" w:fill="FFFFFF"/>
          <w:lang w:val="en-CA"/>
        </w:rPr>
        <w:t>O</w:t>
      </w:r>
      <w:r>
        <w:rPr>
          <w:rFonts w:ascii="Times New Roman" w:hAnsi="Times New Roman" w:cs="Times New Roman"/>
          <w:shd w:val="clear" w:color="auto" w:fill="FFFFFF"/>
          <w:lang w:val="en-CA"/>
        </w:rPr>
        <w:t xml:space="preserve">n one hand, earnings-related pensions are essential </w:t>
      </w:r>
      <w:r w:rsidR="002E050B">
        <w:rPr>
          <w:rFonts w:ascii="Times New Roman" w:hAnsi="Times New Roman" w:cs="Times New Roman"/>
          <w:shd w:val="clear" w:color="auto" w:fill="FFFFFF"/>
          <w:lang w:val="en-CA"/>
        </w:rPr>
        <w:t>to</w:t>
      </w:r>
      <w:r>
        <w:rPr>
          <w:rFonts w:ascii="Times New Roman" w:hAnsi="Times New Roman" w:cs="Times New Roman"/>
          <w:shd w:val="clear" w:color="auto" w:fill="FFFFFF"/>
          <w:lang w:val="en-CA"/>
        </w:rPr>
        <w:t xml:space="preserve"> </w:t>
      </w:r>
      <w:r w:rsidR="006E5E52">
        <w:rPr>
          <w:rFonts w:ascii="Times New Roman" w:hAnsi="Times New Roman" w:cs="Times New Roman"/>
          <w:shd w:val="clear" w:color="auto" w:fill="FFFFFF"/>
          <w:lang w:val="en-CA"/>
        </w:rPr>
        <w:t>main</w:t>
      </w:r>
      <w:r>
        <w:rPr>
          <w:rFonts w:ascii="Times New Roman" w:hAnsi="Times New Roman" w:cs="Times New Roman"/>
          <w:shd w:val="clear" w:color="auto" w:fill="FFFFFF"/>
          <w:lang w:val="en-CA"/>
        </w:rPr>
        <w:t xml:space="preserve">tain middle class support for the welfare state as they crowd out private alternative, but on the other hand, </w:t>
      </w:r>
      <w:r w:rsidR="0069269A">
        <w:rPr>
          <w:rFonts w:ascii="Times New Roman" w:hAnsi="Times New Roman" w:cs="Times New Roman"/>
          <w:shd w:val="clear" w:color="auto" w:fill="FFFFFF"/>
          <w:lang w:val="en-CA"/>
        </w:rPr>
        <w:t>they</w:t>
      </w:r>
      <w:r>
        <w:rPr>
          <w:rFonts w:ascii="Times New Roman" w:hAnsi="Times New Roman" w:cs="Times New Roman"/>
          <w:shd w:val="clear" w:color="auto" w:fill="FFFFFF"/>
          <w:lang w:val="en-CA"/>
        </w:rPr>
        <w:t xml:space="preserve"> </w:t>
      </w:r>
      <w:r w:rsidR="0069269A">
        <w:rPr>
          <w:rFonts w:ascii="Times New Roman" w:hAnsi="Times New Roman" w:cs="Times New Roman"/>
          <w:shd w:val="clear" w:color="auto" w:fill="FFFFFF"/>
          <w:lang w:val="en-CA"/>
        </w:rPr>
        <w:t>bias social spending in favour of the rich</w:t>
      </w:r>
      <w:r>
        <w:rPr>
          <w:rFonts w:ascii="Times New Roman" w:hAnsi="Times New Roman" w:cs="Times New Roman"/>
          <w:shd w:val="clear" w:color="auto" w:fill="FFFFFF"/>
          <w:lang w:val="en-CA"/>
        </w:rPr>
        <w:t>.</w:t>
      </w:r>
      <w:r w:rsidR="002E050B">
        <w:rPr>
          <w:rFonts w:ascii="Times New Roman" w:hAnsi="Times New Roman" w:cs="Times New Roman"/>
          <w:shd w:val="clear" w:color="auto" w:fill="FFFFFF"/>
          <w:lang w:val="en-CA"/>
        </w:rPr>
        <w:t xml:space="preserve"> </w:t>
      </w:r>
      <w:r w:rsidR="0069269A">
        <w:rPr>
          <w:rFonts w:ascii="Times New Roman" w:hAnsi="Times New Roman" w:cs="Times New Roman"/>
          <w:shd w:val="clear" w:color="auto" w:fill="FFFFFF"/>
          <w:lang w:val="en-CA"/>
        </w:rPr>
        <w:t xml:space="preserve">The key to achieve targeting within universalism, or even to deliver on the redistributive promises of universalism tout court, is to </w:t>
      </w:r>
      <w:r w:rsidR="002E050B">
        <w:rPr>
          <w:rFonts w:ascii="Times New Roman" w:hAnsi="Times New Roman" w:cs="Times New Roman"/>
          <w:shd w:val="clear" w:color="auto" w:fill="FFFFFF"/>
          <w:lang w:val="en-CA"/>
        </w:rPr>
        <w:t>sustain high levels</w:t>
      </w:r>
      <w:r w:rsidR="0069269A">
        <w:rPr>
          <w:rFonts w:ascii="Times New Roman" w:hAnsi="Times New Roman" w:cs="Times New Roman"/>
          <w:shd w:val="clear" w:color="auto" w:fill="FFFFFF"/>
          <w:lang w:val="en-CA"/>
        </w:rPr>
        <w:t xml:space="preserve"> of</w:t>
      </w:r>
      <w:r w:rsidR="002E050B">
        <w:rPr>
          <w:rFonts w:ascii="Times New Roman" w:hAnsi="Times New Roman" w:cs="Times New Roman"/>
          <w:shd w:val="clear" w:color="auto" w:fill="FFFFFF"/>
          <w:lang w:val="en-CA"/>
        </w:rPr>
        <w:t xml:space="preserve"> working age benefits. </w:t>
      </w:r>
      <w:r w:rsidR="0069269A">
        <w:rPr>
          <w:rFonts w:ascii="Times New Roman" w:hAnsi="Times New Roman" w:cs="Times New Roman"/>
          <w:shd w:val="clear" w:color="auto" w:fill="FFFFFF"/>
          <w:lang w:val="en-CA"/>
        </w:rPr>
        <w:t>If, h</w:t>
      </w:r>
      <w:r w:rsidR="002E050B">
        <w:rPr>
          <w:rFonts w:ascii="Times New Roman" w:hAnsi="Times New Roman" w:cs="Times New Roman"/>
          <w:shd w:val="clear" w:color="auto" w:fill="FFFFFF"/>
          <w:lang w:val="en-CA"/>
        </w:rPr>
        <w:t>owever, aging and fiscal pressures make the trade-off between old age and working age spending</w:t>
      </w:r>
      <w:r w:rsidR="0069269A">
        <w:rPr>
          <w:rFonts w:ascii="Times New Roman" w:hAnsi="Times New Roman" w:cs="Times New Roman"/>
          <w:shd w:val="clear" w:color="auto" w:fill="FFFFFF"/>
          <w:lang w:val="en-CA"/>
        </w:rPr>
        <w:t xml:space="preserve"> more acute</w:t>
      </w:r>
      <w:r w:rsidR="002E050B">
        <w:rPr>
          <w:rFonts w:ascii="Times New Roman" w:hAnsi="Times New Roman" w:cs="Times New Roman"/>
          <w:shd w:val="clear" w:color="auto" w:fill="FFFFFF"/>
          <w:lang w:val="en-CA"/>
        </w:rPr>
        <w:t>, gover</w:t>
      </w:r>
      <w:r w:rsidR="0069269A">
        <w:rPr>
          <w:rFonts w:ascii="Times New Roman" w:hAnsi="Times New Roman" w:cs="Times New Roman"/>
          <w:shd w:val="clear" w:color="auto" w:fill="FFFFFF"/>
          <w:lang w:val="en-CA"/>
        </w:rPr>
        <w:t>n</w:t>
      </w:r>
      <w:r w:rsidR="002E050B">
        <w:rPr>
          <w:rFonts w:ascii="Times New Roman" w:hAnsi="Times New Roman" w:cs="Times New Roman"/>
          <w:shd w:val="clear" w:color="auto" w:fill="FFFFFF"/>
          <w:lang w:val="en-CA"/>
        </w:rPr>
        <w:t>ments might have to choose between</w:t>
      </w:r>
      <w:r w:rsidR="0069269A">
        <w:rPr>
          <w:rFonts w:ascii="Times New Roman" w:hAnsi="Times New Roman" w:cs="Times New Roman"/>
          <w:shd w:val="clear" w:color="auto" w:fill="FFFFFF"/>
          <w:lang w:val="en-CA"/>
        </w:rPr>
        <w:t xml:space="preserve"> generous pensions and solid</w:t>
      </w:r>
      <w:r w:rsidR="002E050B">
        <w:rPr>
          <w:rFonts w:ascii="Times New Roman" w:hAnsi="Times New Roman" w:cs="Times New Roman"/>
          <w:shd w:val="clear" w:color="auto" w:fill="FFFFFF"/>
          <w:lang w:val="en-CA"/>
        </w:rPr>
        <w:t xml:space="preserve"> pro-poor</w:t>
      </w:r>
      <w:r w:rsidR="0069269A">
        <w:rPr>
          <w:rFonts w:ascii="Times New Roman" w:hAnsi="Times New Roman" w:cs="Times New Roman"/>
          <w:shd w:val="clear" w:color="auto" w:fill="FFFFFF"/>
          <w:lang w:val="en-CA"/>
        </w:rPr>
        <w:t xml:space="preserve"> benefits, both options being susceptible to receive</w:t>
      </w:r>
      <w:r w:rsidR="002E050B">
        <w:rPr>
          <w:rFonts w:ascii="Times New Roman" w:hAnsi="Times New Roman" w:cs="Times New Roman"/>
          <w:shd w:val="clear" w:color="auto" w:fill="FFFFFF"/>
          <w:lang w:val="en-CA"/>
        </w:rPr>
        <w:t xml:space="preserve"> middle</w:t>
      </w:r>
      <w:r w:rsidR="0069269A">
        <w:rPr>
          <w:rFonts w:ascii="Times New Roman" w:hAnsi="Times New Roman" w:cs="Times New Roman"/>
          <w:shd w:val="clear" w:color="auto" w:fill="FFFFFF"/>
          <w:lang w:val="en-CA"/>
        </w:rPr>
        <w:t>-</w:t>
      </w:r>
      <w:r w:rsidR="002E050B">
        <w:rPr>
          <w:rFonts w:ascii="Times New Roman" w:hAnsi="Times New Roman" w:cs="Times New Roman"/>
          <w:shd w:val="clear" w:color="auto" w:fill="FFFFFF"/>
          <w:lang w:val="en-CA"/>
        </w:rPr>
        <w:t xml:space="preserve">class support. </w:t>
      </w:r>
    </w:p>
    <w:p w14:paraId="3938EB32" w14:textId="6F823186" w:rsidR="005150F1" w:rsidRDefault="002E050B" w:rsidP="00B94CF2">
      <w:pPr>
        <w:spacing w:line="480" w:lineRule="auto"/>
        <w:ind w:right="50"/>
        <w:jc w:val="both"/>
        <w:rPr>
          <w:rFonts w:ascii="Times New Roman" w:hAnsi="Times New Roman" w:cs="Times New Roman"/>
          <w:shd w:val="clear" w:color="auto" w:fill="FFFFFF"/>
          <w:lang w:val="en-CA"/>
        </w:rPr>
      </w:pPr>
      <w:r>
        <w:rPr>
          <w:rFonts w:ascii="Times New Roman" w:hAnsi="Times New Roman" w:cs="Times New Roman"/>
          <w:shd w:val="clear" w:color="auto" w:fill="FFFFFF"/>
          <w:lang w:val="en-CA"/>
        </w:rPr>
        <w:tab/>
      </w:r>
      <w:r w:rsidR="005150F1">
        <w:rPr>
          <w:rFonts w:ascii="Times New Roman" w:hAnsi="Times New Roman" w:cs="Times New Roman"/>
          <w:shd w:val="clear" w:color="auto" w:fill="FFFFFF"/>
          <w:lang w:val="en-CA"/>
        </w:rPr>
        <w:t xml:space="preserve">Third, </w:t>
      </w:r>
      <w:r w:rsidR="00231C70" w:rsidRPr="007B7233">
        <w:rPr>
          <w:rFonts w:ascii="Times New Roman" w:hAnsi="Times New Roman" w:cs="Times New Roman"/>
          <w:shd w:val="clear" w:color="auto" w:fill="FFFFFF"/>
          <w:lang w:val="en-CA"/>
        </w:rPr>
        <w:t>we establish, following others before us, that pro-poor targeting does not necessarily help the poor</w:t>
      </w:r>
      <w:r w:rsidR="00A64595">
        <w:rPr>
          <w:rFonts w:ascii="Times New Roman" w:hAnsi="Times New Roman" w:cs="Times New Roman"/>
          <w:shd w:val="clear" w:color="auto" w:fill="FFFFFF"/>
          <w:lang w:val="en-CA"/>
        </w:rPr>
        <w:t xml:space="preserve"> (</w:t>
      </w:r>
      <w:r w:rsidR="00A64595">
        <w:rPr>
          <w:rFonts w:ascii="Times New Roman" w:hAnsi="Times New Roman" w:cs="Times New Roman"/>
          <w:lang w:val="en-CA"/>
        </w:rPr>
        <w:t>Ferrarini et al., 2016)</w:t>
      </w:r>
      <w:r w:rsidR="00231C70" w:rsidRPr="007B7233">
        <w:rPr>
          <w:rFonts w:ascii="Times New Roman" w:hAnsi="Times New Roman" w:cs="Times New Roman"/>
          <w:shd w:val="clear" w:color="auto" w:fill="FFFFFF"/>
          <w:lang w:val="en-CA"/>
        </w:rPr>
        <w:t>. The best approach to reduce poverty is not targeting but rather universalism</w:t>
      </w:r>
      <w:r w:rsidR="005150F1">
        <w:rPr>
          <w:rFonts w:ascii="Times New Roman" w:hAnsi="Times New Roman" w:cs="Times New Roman"/>
          <w:shd w:val="clear" w:color="auto" w:fill="FFFFFF"/>
          <w:lang w:val="en-CA"/>
        </w:rPr>
        <w:t xml:space="preserve">, because </w:t>
      </w:r>
      <w:r w:rsidR="003F525E">
        <w:rPr>
          <w:rFonts w:ascii="Times New Roman" w:hAnsi="Times New Roman" w:cs="Times New Roman"/>
          <w:shd w:val="clear" w:color="auto" w:fill="FFFFFF"/>
          <w:lang w:val="en-CA"/>
        </w:rPr>
        <w:t xml:space="preserve">it </w:t>
      </w:r>
      <w:r w:rsidR="005150F1">
        <w:rPr>
          <w:rFonts w:ascii="Times New Roman" w:hAnsi="Times New Roman" w:cs="Times New Roman"/>
          <w:shd w:val="clear" w:color="auto" w:fill="FFFFFF"/>
          <w:lang w:val="en-CA"/>
        </w:rPr>
        <w:t xml:space="preserve">leads to a larger social budget. </w:t>
      </w:r>
      <w:r w:rsidR="003F525E">
        <w:rPr>
          <w:rFonts w:ascii="Times New Roman" w:hAnsi="Times New Roman" w:cs="Times New Roman"/>
          <w:shd w:val="clear" w:color="auto" w:fill="FFFFFF"/>
          <w:lang w:val="en-CA"/>
        </w:rPr>
        <w:t>This being said</w:t>
      </w:r>
      <w:r w:rsidR="005150F1">
        <w:rPr>
          <w:rFonts w:ascii="Times New Roman" w:hAnsi="Times New Roman" w:cs="Times New Roman"/>
          <w:shd w:val="clear" w:color="auto" w:fill="FFFFFF"/>
          <w:lang w:val="en-CA"/>
        </w:rPr>
        <w:t xml:space="preserve">, for a given level of social </w:t>
      </w:r>
      <w:r w:rsidR="003F525E">
        <w:rPr>
          <w:rFonts w:ascii="Times New Roman" w:hAnsi="Times New Roman" w:cs="Times New Roman"/>
          <w:shd w:val="clear" w:color="auto" w:fill="FFFFFF"/>
          <w:lang w:val="en-CA"/>
        </w:rPr>
        <w:t>expenditures</w:t>
      </w:r>
      <w:r w:rsidR="005150F1">
        <w:rPr>
          <w:rFonts w:ascii="Times New Roman" w:hAnsi="Times New Roman" w:cs="Times New Roman"/>
          <w:shd w:val="clear" w:color="auto" w:fill="FFFFFF"/>
          <w:lang w:val="en-CA"/>
        </w:rPr>
        <w:t xml:space="preserve">, pro-poor welfare states achieve better poverty reduction than pro-rich welfare states. </w:t>
      </w:r>
      <w:r w:rsidR="00FE039B">
        <w:rPr>
          <w:rFonts w:ascii="Times New Roman" w:hAnsi="Times New Roman" w:cs="Times New Roman"/>
          <w:shd w:val="clear" w:color="auto" w:fill="FFFFFF"/>
          <w:lang w:val="en-CA"/>
        </w:rPr>
        <w:t xml:space="preserve">Thus, targeting within universalism </w:t>
      </w:r>
      <w:r w:rsidR="00FE039B" w:rsidRPr="007B7233">
        <w:rPr>
          <w:rFonts w:ascii="Times New Roman" w:hAnsi="Times New Roman" w:cs="Times New Roman"/>
          <w:shd w:val="clear" w:color="auto" w:fill="FFFFFF"/>
          <w:lang w:val="en-CA"/>
        </w:rPr>
        <w:t>seem</w:t>
      </w:r>
      <w:r w:rsidR="003F525E">
        <w:rPr>
          <w:rFonts w:ascii="Times New Roman" w:hAnsi="Times New Roman" w:cs="Times New Roman"/>
          <w:shd w:val="clear" w:color="auto" w:fill="FFFFFF"/>
          <w:lang w:val="en-CA"/>
        </w:rPr>
        <w:t>s</w:t>
      </w:r>
      <w:r w:rsidR="00FE039B" w:rsidRPr="007B7233">
        <w:rPr>
          <w:rFonts w:ascii="Times New Roman" w:hAnsi="Times New Roman" w:cs="Times New Roman"/>
          <w:shd w:val="clear" w:color="auto" w:fill="FFFFFF"/>
          <w:lang w:val="en-CA"/>
        </w:rPr>
        <w:t xml:space="preserve"> </w:t>
      </w:r>
      <w:r w:rsidR="003F525E">
        <w:rPr>
          <w:rFonts w:ascii="Times New Roman" w:hAnsi="Times New Roman" w:cs="Times New Roman"/>
          <w:shd w:val="clear" w:color="auto" w:fill="FFFFFF"/>
          <w:lang w:val="en-CA"/>
        </w:rPr>
        <w:t xml:space="preserve">to </w:t>
      </w:r>
      <w:r w:rsidR="00FE039B" w:rsidRPr="007B7233">
        <w:rPr>
          <w:rFonts w:ascii="Times New Roman" w:hAnsi="Times New Roman" w:cs="Times New Roman"/>
          <w:shd w:val="clear" w:color="auto" w:fill="FFFFFF"/>
          <w:lang w:val="en-CA"/>
        </w:rPr>
        <w:t xml:space="preserve">make a more </w:t>
      </w:r>
      <w:r w:rsidR="003F525E">
        <w:rPr>
          <w:rFonts w:ascii="Times New Roman" w:hAnsi="Times New Roman" w:cs="Times New Roman"/>
          <w:shd w:val="clear" w:color="auto" w:fill="FFFFFF"/>
          <w:lang w:val="en-CA"/>
        </w:rPr>
        <w:t>effective</w:t>
      </w:r>
      <w:r w:rsidR="003F525E" w:rsidRPr="007B7233">
        <w:rPr>
          <w:rFonts w:ascii="Times New Roman" w:hAnsi="Times New Roman" w:cs="Times New Roman"/>
          <w:shd w:val="clear" w:color="auto" w:fill="FFFFFF"/>
          <w:lang w:val="en-CA"/>
        </w:rPr>
        <w:t xml:space="preserve"> </w:t>
      </w:r>
      <w:r w:rsidR="00FE039B" w:rsidRPr="007B7233">
        <w:rPr>
          <w:rFonts w:ascii="Times New Roman" w:hAnsi="Times New Roman" w:cs="Times New Roman"/>
          <w:shd w:val="clear" w:color="auto" w:fill="FFFFFF"/>
          <w:lang w:val="en-CA"/>
        </w:rPr>
        <w:t>use of the state’s financial resources</w:t>
      </w:r>
      <w:r w:rsidR="00FE039B">
        <w:rPr>
          <w:rFonts w:ascii="Times New Roman" w:hAnsi="Times New Roman" w:cs="Times New Roman"/>
          <w:shd w:val="clear" w:color="auto" w:fill="FFFFFF"/>
          <w:lang w:val="en-CA"/>
        </w:rPr>
        <w:t>.</w:t>
      </w:r>
    </w:p>
    <w:p w14:paraId="5F92ED3E" w14:textId="184F9C60" w:rsidR="005150F1" w:rsidRPr="005150F1" w:rsidRDefault="00B94CF2" w:rsidP="000B222D">
      <w:pPr>
        <w:spacing w:line="480" w:lineRule="auto"/>
        <w:ind w:right="50" w:firstLine="708"/>
        <w:jc w:val="both"/>
        <w:rPr>
          <w:rFonts w:ascii="Times New Roman" w:hAnsi="Times New Roman" w:cs="Times New Roman"/>
          <w:shd w:val="clear" w:color="auto" w:fill="FFFFFF"/>
          <w:lang w:val="en-CA"/>
        </w:rPr>
      </w:pPr>
      <w:r w:rsidRPr="007B7233">
        <w:rPr>
          <w:rFonts w:ascii="Times New Roman" w:hAnsi="Times New Roman" w:cs="Times New Roman"/>
          <w:shd w:val="clear" w:color="auto" w:fill="FFFFFF"/>
          <w:lang w:val="en-CA"/>
        </w:rPr>
        <w:t xml:space="preserve">Fourth, we put together the different dimensions </w:t>
      </w:r>
      <w:r w:rsidR="0069269A">
        <w:rPr>
          <w:rFonts w:ascii="Times New Roman" w:hAnsi="Times New Roman" w:cs="Times New Roman"/>
          <w:shd w:val="clear" w:color="auto" w:fill="FFFFFF"/>
          <w:lang w:val="en-CA"/>
        </w:rPr>
        <w:t>in a truth table</w:t>
      </w:r>
      <w:r w:rsidRPr="007B7233">
        <w:rPr>
          <w:rFonts w:ascii="Times New Roman" w:hAnsi="Times New Roman" w:cs="Times New Roman"/>
          <w:shd w:val="clear" w:color="auto" w:fill="FFFFFF"/>
          <w:lang w:val="en-CA"/>
        </w:rPr>
        <w:t xml:space="preserve">, to find that there are five distinct roads to welfare redistribution. Two of them pertain to the residual welfare state and do not redistribute effectively, whether or not they target the poor. The three other configurations belong to the world of universalism. One of them, not successful regarding poverty, is the pro-old universalism of Mediterranean countries, which simply </w:t>
      </w:r>
      <w:r w:rsidRPr="007B7233">
        <w:rPr>
          <w:rFonts w:ascii="Times New Roman" w:hAnsi="Times New Roman" w:cs="Times New Roman"/>
          <w:shd w:val="clear" w:color="auto" w:fill="FFFFFF"/>
          <w:lang w:val="en-CA"/>
        </w:rPr>
        <w:lastRenderedPageBreak/>
        <w:t>does not provide enough to lift working age adults out of poverty. The other two, universalism and targeting within universalism, present solid universalist credentials and spend generously on working age cash transfers.</w:t>
      </w:r>
      <w:r w:rsidR="002E125D">
        <w:rPr>
          <w:rFonts w:ascii="Times New Roman" w:hAnsi="Times New Roman" w:cs="Times New Roman"/>
          <w:shd w:val="clear" w:color="auto" w:fill="FFFFFF"/>
          <w:lang w:val="en-CA"/>
        </w:rPr>
        <w:t xml:space="preserve"> For a given level of social expenditures, however,</w:t>
      </w:r>
      <w:r w:rsidRPr="007B7233">
        <w:rPr>
          <w:rFonts w:ascii="Times New Roman" w:hAnsi="Times New Roman" w:cs="Times New Roman"/>
          <w:shd w:val="clear" w:color="auto" w:fill="FFFFFF"/>
          <w:lang w:val="en-CA"/>
        </w:rPr>
        <w:t xml:space="preserve"> targeting within universalism </w:t>
      </w:r>
      <w:r w:rsidR="002E125D">
        <w:rPr>
          <w:rFonts w:ascii="Times New Roman" w:hAnsi="Times New Roman" w:cs="Times New Roman"/>
          <w:shd w:val="clear" w:color="auto" w:fill="FFFFFF"/>
          <w:lang w:val="en-CA"/>
        </w:rPr>
        <w:t>achieves more redistribution</w:t>
      </w:r>
      <w:r w:rsidR="00D7735D">
        <w:rPr>
          <w:rFonts w:ascii="Times New Roman" w:hAnsi="Times New Roman" w:cs="Times New Roman"/>
          <w:shd w:val="clear" w:color="auto" w:fill="FFFFFF"/>
          <w:lang w:val="en-CA"/>
        </w:rPr>
        <w:t>.</w:t>
      </w:r>
    </w:p>
    <w:p w14:paraId="2AAA4176" w14:textId="094DC9AE" w:rsidR="00BE2BAD" w:rsidRDefault="00B94CF2" w:rsidP="000C57E5">
      <w:pPr>
        <w:spacing w:line="480" w:lineRule="auto"/>
        <w:ind w:right="50"/>
        <w:jc w:val="both"/>
        <w:rPr>
          <w:rFonts w:ascii="Times New Roman" w:hAnsi="Times New Roman" w:cs="Times New Roman"/>
          <w:shd w:val="clear" w:color="auto" w:fill="FFFFFF"/>
          <w:lang w:val="en-CA"/>
        </w:rPr>
      </w:pPr>
      <w:r w:rsidRPr="007B7233">
        <w:rPr>
          <w:rFonts w:ascii="Times New Roman" w:hAnsi="Times New Roman" w:cs="Times New Roman"/>
          <w:b/>
          <w:shd w:val="clear" w:color="auto" w:fill="FFFFFF"/>
          <w:lang w:val="en-CA"/>
        </w:rPr>
        <w:tab/>
      </w:r>
      <w:r w:rsidRPr="007B7233">
        <w:rPr>
          <w:rFonts w:ascii="Times New Roman" w:hAnsi="Times New Roman" w:cs="Times New Roman"/>
          <w:shd w:val="clear" w:color="auto" w:fill="FFFFFF"/>
          <w:lang w:val="en-CA"/>
        </w:rPr>
        <w:t xml:space="preserve">To conclude, targeting within universalism does exist, it takes place in the Nordic countries and in Belgium, and appears to be an effective approach to redistribution and poverty reduction. One should always remember, however, that the secret of this welfare configuration lies </w:t>
      </w:r>
      <w:r w:rsidR="007346B7">
        <w:rPr>
          <w:rFonts w:ascii="Times New Roman" w:hAnsi="Times New Roman" w:cs="Times New Roman"/>
          <w:shd w:val="clear" w:color="auto" w:fill="FFFFFF"/>
          <w:lang w:val="en-CA"/>
        </w:rPr>
        <w:t>less</w:t>
      </w:r>
      <w:r w:rsidR="007346B7" w:rsidRPr="007B7233">
        <w:rPr>
          <w:rFonts w:ascii="Times New Roman" w:hAnsi="Times New Roman" w:cs="Times New Roman"/>
          <w:shd w:val="clear" w:color="auto" w:fill="FFFFFF"/>
          <w:lang w:val="en-CA"/>
        </w:rPr>
        <w:t xml:space="preserve"> </w:t>
      </w:r>
      <w:r w:rsidRPr="007B7233">
        <w:rPr>
          <w:rFonts w:ascii="Times New Roman" w:hAnsi="Times New Roman" w:cs="Times New Roman"/>
          <w:shd w:val="clear" w:color="auto" w:fill="FFFFFF"/>
          <w:lang w:val="en-CA"/>
        </w:rPr>
        <w:t xml:space="preserve">in targeting </w:t>
      </w:r>
      <w:r w:rsidR="007346B7">
        <w:rPr>
          <w:rFonts w:ascii="Times New Roman" w:hAnsi="Times New Roman" w:cs="Times New Roman"/>
          <w:shd w:val="clear" w:color="auto" w:fill="FFFFFF"/>
          <w:lang w:val="en-CA"/>
        </w:rPr>
        <w:t>than</w:t>
      </w:r>
      <w:r w:rsidR="007346B7" w:rsidRPr="007B7233">
        <w:rPr>
          <w:rFonts w:ascii="Times New Roman" w:hAnsi="Times New Roman" w:cs="Times New Roman"/>
          <w:shd w:val="clear" w:color="auto" w:fill="FFFFFF"/>
          <w:lang w:val="en-CA"/>
        </w:rPr>
        <w:t xml:space="preserve"> </w:t>
      </w:r>
      <w:r w:rsidRPr="007B7233">
        <w:rPr>
          <w:rFonts w:ascii="Times New Roman" w:hAnsi="Times New Roman" w:cs="Times New Roman"/>
          <w:shd w:val="clear" w:color="auto" w:fill="FFFFFF"/>
          <w:lang w:val="en-CA"/>
        </w:rPr>
        <w:t xml:space="preserve">in its universal dimension. Pro-poor targeting in these welfare states constitutes an unplanned outcome of a deliberate effort to protect the income of working age adults. It </w:t>
      </w:r>
      <w:r w:rsidR="007346B7">
        <w:rPr>
          <w:rFonts w:ascii="Times New Roman" w:hAnsi="Times New Roman" w:cs="Times New Roman"/>
          <w:shd w:val="clear" w:color="auto" w:fill="FFFFFF"/>
          <w:lang w:val="en-CA"/>
        </w:rPr>
        <w:t>sustains</w:t>
      </w:r>
      <w:r w:rsidR="007346B7" w:rsidRPr="007B7233">
        <w:rPr>
          <w:rFonts w:ascii="Times New Roman" w:hAnsi="Times New Roman" w:cs="Times New Roman"/>
          <w:shd w:val="clear" w:color="auto" w:fill="FFFFFF"/>
          <w:lang w:val="en-CA"/>
        </w:rPr>
        <w:t xml:space="preserve"> </w:t>
      </w:r>
      <w:r w:rsidRPr="007B7233">
        <w:rPr>
          <w:rFonts w:ascii="Times New Roman" w:hAnsi="Times New Roman" w:cs="Times New Roman"/>
          <w:shd w:val="clear" w:color="auto" w:fill="FFFFFF"/>
          <w:lang w:val="en-CA"/>
        </w:rPr>
        <w:t xml:space="preserve">redistribution because it is embodied in universalism and premised on a large social budget. Targeting alone, however, </w:t>
      </w:r>
      <w:r w:rsidR="007346B7">
        <w:rPr>
          <w:rFonts w:ascii="Times New Roman" w:hAnsi="Times New Roman" w:cs="Times New Roman"/>
          <w:shd w:val="clear" w:color="auto" w:fill="FFFFFF"/>
          <w:lang w:val="en-CA"/>
        </w:rPr>
        <w:t>never</w:t>
      </w:r>
      <w:r w:rsidRPr="007B7233">
        <w:rPr>
          <w:rFonts w:ascii="Times New Roman" w:hAnsi="Times New Roman" w:cs="Times New Roman"/>
          <w:shd w:val="clear" w:color="auto" w:fill="FFFFFF"/>
          <w:lang w:val="en-CA"/>
        </w:rPr>
        <w:t xml:space="preserve"> yield</w:t>
      </w:r>
      <w:r w:rsidR="007346B7">
        <w:rPr>
          <w:rFonts w:ascii="Times New Roman" w:hAnsi="Times New Roman" w:cs="Times New Roman"/>
          <w:shd w:val="clear" w:color="auto" w:fill="FFFFFF"/>
          <w:lang w:val="en-CA"/>
        </w:rPr>
        <w:t>s</w:t>
      </w:r>
      <w:r w:rsidRPr="007B7233">
        <w:rPr>
          <w:rFonts w:ascii="Times New Roman" w:hAnsi="Times New Roman" w:cs="Times New Roman"/>
          <w:shd w:val="clear" w:color="auto" w:fill="FFFFFF"/>
          <w:lang w:val="en-CA"/>
        </w:rPr>
        <w:t xml:space="preserve"> the same results. If one were to choose between targeting and universalism, universalism would always remain the best option.</w:t>
      </w:r>
    </w:p>
    <w:p w14:paraId="083ECF70" w14:textId="6CA8AA24" w:rsidR="00E35A1F" w:rsidRDefault="00E35A1F" w:rsidP="000C57E5">
      <w:pPr>
        <w:spacing w:line="480" w:lineRule="auto"/>
        <w:ind w:right="50"/>
        <w:jc w:val="both"/>
        <w:rPr>
          <w:rFonts w:ascii="Times New Roman" w:hAnsi="Times New Roman" w:cs="Times New Roman"/>
          <w:shd w:val="clear" w:color="auto" w:fill="FFFFFF"/>
          <w:lang w:val="en-CA"/>
        </w:rPr>
      </w:pPr>
    </w:p>
    <w:p w14:paraId="02B908EC" w14:textId="18D6C57D" w:rsidR="00284D59" w:rsidRDefault="00284D59">
      <w:pPr>
        <w:rPr>
          <w:rFonts w:ascii="Times New Roman" w:hAnsi="Times New Roman" w:cs="Times New Roman"/>
          <w:shd w:val="clear" w:color="auto" w:fill="FFFFFF"/>
          <w:lang w:val="en-CA"/>
        </w:rPr>
      </w:pPr>
    </w:p>
    <w:p w14:paraId="54AAB981" w14:textId="77777777" w:rsidR="00284D59" w:rsidRDefault="00284D59">
      <w:pPr>
        <w:rPr>
          <w:rFonts w:ascii="Times New Roman" w:hAnsi="Times New Roman" w:cs="Times New Roman"/>
          <w:shd w:val="clear" w:color="auto" w:fill="FFFFFF"/>
          <w:lang w:val="en-CA"/>
        </w:rPr>
      </w:pPr>
    </w:p>
    <w:p w14:paraId="11C57C57" w14:textId="5EED2EF8" w:rsidR="00BE2BAD" w:rsidRDefault="00BE2BAD" w:rsidP="00BE2BAD">
      <w:pPr>
        <w:spacing w:line="480" w:lineRule="auto"/>
        <w:rPr>
          <w:rFonts w:ascii="Times New Roman" w:hAnsi="Times New Roman" w:cs="Times New Roman"/>
          <w:b/>
          <w:lang w:val="en-CA"/>
        </w:rPr>
      </w:pPr>
      <w:r w:rsidRPr="00431F3C">
        <w:rPr>
          <w:rFonts w:ascii="Times New Roman" w:hAnsi="Times New Roman" w:cs="Times New Roman"/>
          <w:b/>
          <w:lang w:val="en-CA"/>
        </w:rPr>
        <w:t>References</w:t>
      </w:r>
    </w:p>
    <w:p w14:paraId="4C2FB849" w14:textId="77777777" w:rsidR="00BE2BAD" w:rsidRPr="00431F3C" w:rsidRDefault="00BE2BAD" w:rsidP="00BE2BAD">
      <w:pPr>
        <w:spacing w:line="480" w:lineRule="auto"/>
        <w:rPr>
          <w:rFonts w:ascii="Times New Roman" w:hAnsi="Times New Roman" w:cs="Times New Roman"/>
          <w:lang w:val="en-CA"/>
        </w:rPr>
      </w:pPr>
    </w:p>
    <w:p w14:paraId="603FC808" w14:textId="77777777" w:rsidR="00BE2BAD" w:rsidRPr="00431F3C" w:rsidRDefault="00BE2BAD" w:rsidP="00BE2BAD">
      <w:pPr>
        <w:spacing w:line="480" w:lineRule="auto"/>
        <w:ind w:left="709" w:hanging="709"/>
        <w:jc w:val="both"/>
        <w:rPr>
          <w:rFonts w:ascii="Times New Roman" w:hAnsi="Times New Roman" w:cs="Times New Roman"/>
          <w:lang w:val="en-CA"/>
        </w:rPr>
      </w:pPr>
      <w:r w:rsidRPr="00431F3C">
        <w:rPr>
          <w:rFonts w:ascii="Times New Roman" w:hAnsi="Times New Roman" w:cs="Times New Roman"/>
          <w:lang w:val="en-CA"/>
        </w:rPr>
        <w:t xml:space="preserve">Adema, W., Fron, P. and Ladaique, M. (2011) </w:t>
      </w:r>
      <w:r>
        <w:rPr>
          <w:rFonts w:ascii="Times New Roman" w:hAnsi="Times New Roman" w:cs="Times New Roman"/>
          <w:lang w:val="en-CA"/>
        </w:rPr>
        <w:t>‘</w:t>
      </w:r>
      <w:r w:rsidRPr="00431F3C">
        <w:rPr>
          <w:rFonts w:ascii="Times New Roman" w:hAnsi="Times New Roman" w:cs="Times New Roman"/>
          <w:lang w:val="en-CA"/>
        </w:rPr>
        <w:t>Is the European Welfare State Really More Expensive? Indicators on Social Spending, 1980-2012; and a Manual to the OECD Social Expenditure Database (SOCX)</w:t>
      </w:r>
      <w:r>
        <w:rPr>
          <w:rFonts w:ascii="Times New Roman" w:hAnsi="Times New Roman" w:cs="Times New Roman"/>
          <w:lang w:val="en-CA"/>
        </w:rPr>
        <w:t>’</w:t>
      </w:r>
      <w:r w:rsidRPr="00431F3C">
        <w:rPr>
          <w:rFonts w:ascii="Times New Roman" w:hAnsi="Times New Roman" w:cs="Times New Roman"/>
          <w:lang w:val="en-CA"/>
        </w:rPr>
        <w:t xml:space="preserve">, </w:t>
      </w:r>
      <w:r w:rsidRPr="00431F3C">
        <w:rPr>
          <w:rFonts w:ascii="Times New Roman" w:hAnsi="Times New Roman" w:cs="Times New Roman"/>
          <w:i/>
          <w:lang w:val="en-CA"/>
        </w:rPr>
        <w:t>OECD Social, Employment and Migration Working Papers</w:t>
      </w:r>
      <w:r w:rsidRPr="00431F3C">
        <w:rPr>
          <w:rFonts w:ascii="Times New Roman" w:hAnsi="Times New Roman" w:cs="Times New Roman"/>
          <w:lang w:val="en-CA"/>
        </w:rPr>
        <w:t xml:space="preserve"> 124, Paris: OECD. </w:t>
      </w:r>
    </w:p>
    <w:p w14:paraId="09E9BE1D" w14:textId="77777777" w:rsidR="00BE2BAD" w:rsidRPr="00431F3C" w:rsidRDefault="00BE2BAD" w:rsidP="00BE2BAD">
      <w:pPr>
        <w:spacing w:line="480" w:lineRule="auto"/>
        <w:ind w:left="709" w:hanging="709"/>
        <w:jc w:val="both"/>
        <w:rPr>
          <w:rFonts w:ascii="Times New Roman" w:hAnsi="Times New Roman" w:cs="Times New Roman"/>
          <w:lang w:val="en-CA"/>
        </w:rPr>
      </w:pPr>
      <w:r w:rsidRPr="00431F3C">
        <w:rPr>
          <w:rFonts w:ascii="Times New Roman" w:hAnsi="Times New Roman" w:cs="Times New Roman"/>
          <w:lang w:val="en-CA"/>
        </w:rPr>
        <w:lastRenderedPageBreak/>
        <w:t xml:space="preserve">Anttonen, A., Häikiö, L., Stefánsson, K. and Sipilä, J. (2012) </w:t>
      </w:r>
      <w:r>
        <w:rPr>
          <w:rFonts w:ascii="Times New Roman" w:hAnsi="Times New Roman" w:cs="Times New Roman"/>
          <w:lang w:val="en-CA"/>
        </w:rPr>
        <w:t>‘</w:t>
      </w:r>
      <w:r w:rsidRPr="00431F3C">
        <w:rPr>
          <w:rFonts w:ascii="Times New Roman" w:hAnsi="Times New Roman" w:cs="Times New Roman"/>
          <w:lang w:val="en-CA"/>
        </w:rPr>
        <w:t>Universalism and the Challenge of Diversity</w:t>
      </w:r>
      <w:r>
        <w:rPr>
          <w:rFonts w:ascii="Times New Roman" w:hAnsi="Times New Roman" w:cs="Times New Roman"/>
          <w:lang w:val="en-CA"/>
        </w:rPr>
        <w:t>’,</w:t>
      </w:r>
      <w:r w:rsidRPr="00431F3C">
        <w:rPr>
          <w:rFonts w:ascii="Times New Roman" w:hAnsi="Times New Roman" w:cs="Times New Roman"/>
          <w:lang w:val="en-CA"/>
        </w:rPr>
        <w:t xml:space="preserve"> </w:t>
      </w:r>
      <w:r>
        <w:rPr>
          <w:rFonts w:ascii="Times New Roman" w:hAnsi="Times New Roman" w:cs="Times New Roman"/>
          <w:lang w:val="en-CA"/>
        </w:rPr>
        <w:t>i</w:t>
      </w:r>
      <w:r w:rsidRPr="00431F3C">
        <w:rPr>
          <w:rFonts w:ascii="Times New Roman" w:hAnsi="Times New Roman" w:cs="Times New Roman"/>
          <w:lang w:val="en-CA"/>
        </w:rPr>
        <w:t xml:space="preserve">n A. Anttonen, L. Häikiö and K. Stefánsson (eds), </w:t>
      </w:r>
      <w:r w:rsidRPr="00431F3C">
        <w:rPr>
          <w:rFonts w:ascii="Times New Roman" w:hAnsi="Times New Roman" w:cs="Times New Roman"/>
          <w:i/>
          <w:lang w:val="en-CA"/>
        </w:rPr>
        <w:t>Welfare State, Universalism and Diversity</w:t>
      </w:r>
      <w:r>
        <w:rPr>
          <w:rFonts w:ascii="Times New Roman" w:hAnsi="Times New Roman" w:cs="Times New Roman"/>
          <w:lang w:val="en-CA"/>
        </w:rPr>
        <w:t xml:space="preserve">, </w:t>
      </w:r>
      <w:r w:rsidRPr="00431F3C">
        <w:rPr>
          <w:rFonts w:ascii="Times New Roman" w:hAnsi="Times New Roman" w:cs="Times New Roman"/>
          <w:lang w:val="en-CA"/>
        </w:rPr>
        <w:t>pp. 1-15</w:t>
      </w:r>
      <w:r>
        <w:rPr>
          <w:rFonts w:ascii="Times New Roman" w:hAnsi="Times New Roman" w:cs="Times New Roman"/>
          <w:lang w:val="en-CA"/>
        </w:rPr>
        <w:t xml:space="preserve">. </w:t>
      </w:r>
      <w:r w:rsidRPr="00431F3C">
        <w:rPr>
          <w:rFonts w:ascii="Times New Roman" w:hAnsi="Times New Roman" w:cs="Times New Roman"/>
          <w:lang w:val="en-CA"/>
        </w:rPr>
        <w:t>Cheltenham: Edward Elgar.</w:t>
      </w:r>
    </w:p>
    <w:p w14:paraId="672F24E4" w14:textId="77777777" w:rsidR="00BE2BAD" w:rsidRPr="00431F3C" w:rsidRDefault="00BE2BAD" w:rsidP="00BE2BAD">
      <w:pPr>
        <w:spacing w:line="480" w:lineRule="auto"/>
        <w:ind w:left="709" w:hanging="709"/>
        <w:jc w:val="both"/>
        <w:rPr>
          <w:rFonts w:ascii="Times New Roman" w:hAnsi="Times New Roman" w:cs="Times New Roman"/>
          <w:lang w:val="en-CA"/>
        </w:rPr>
      </w:pPr>
      <w:r w:rsidRPr="00431F3C">
        <w:rPr>
          <w:rFonts w:ascii="Times New Roman" w:hAnsi="Times New Roman" w:cs="Times New Roman"/>
          <w:lang w:val="en-CA"/>
        </w:rPr>
        <w:t xml:space="preserve">Anttonen, A. and Sipilä, J. (2012) </w:t>
      </w:r>
      <w:r>
        <w:rPr>
          <w:rFonts w:ascii="Times New Roman" w:hAnsi="Times New Roman" w:cs="Times New Roman"/>
          <w:lang w:val="en-CA"/>
        </w:rPr>
        <w:t>‘</w:t>
      </w:r>
      <w:r w:rsidRPr="00431F3C">
        <w:rPr>
          <w:rFonts w:ascii="Times New Roman" w:hAnsi="Times New Roman" w:cs="Times New Roman"/>
          <w:lang w:val="en-CA"/>
        </w:rPr>
        <w:t>Universalism in the British and Scandinavian Social Policy Debates</w:t>
      </w:r>
      <w:r>
        <w:rPr>
          <w:rFonts w:ascii="Times New Roman" w:hAnsi="Times New Roman" w:cs="Times New Roman"/>
          <w:lang w:val="en-CA"/>
        </w:rPr>
        <w:t>’, i</w:t>
      </w:r>
      <w:r w:rsidRPr="00431F3C">
        <w:rPr>
          <w:rFonts w:ascii="Times New Roman" w:hAnsi="Times New Roman" w:cs="Times New Roman"/>
          <w:lang w:val="en-CA"/>
        </w:rPr>
        <w:t xml:space="preserve">n A. Anttonen, L. Häikiö and K. Stefánsson (eds), </w:t>
      </w:r>
      <w:r w:rsidRPr="00431F3C">
        <w:rPr>
          <w:rFonts w:ascii="Times New Roman" w:hAnsi="Times New Roman" w:cs="Times New Roman"/>
          <w:i/>
          <w:lang w:val="en-CA"/>
        </w:rPr>
        <w:t>Welfare State, Universalism and Diversity</w:t>
      </w:r>
      <w:r w:rsidRPr="00431F3C">
        <w:rPr>
          <w:rFonts w:ascii="Times New Roman" w:hAnsi="Times New Roman" w:cs="Times New Roman"/>
          <w:lang w:val="en-CA"/>
        </w:rPr>
        <w:t>, pp. 1</w:t>
      </w:r>
      <w:r>
        <w:rPr>
          <w:rFonts w:ascii="Times New Roman" w:hAnsi="Times New Roman" w:cs="Times New Roman"/>
          <w:lang w:val="en-CA"/>
        </w:rPr>
        <w:t>6</w:t>
      </w:r>
      <w:r w:rsidRPr="00431F3C">
        <w:rPr>
          <w:rFonts w:ascii="Times New Roman" w:hAnsi="Times New Roman" w:cs="Times New Roman"/>
          <w:lang w:val="en-CA"/>
        </w:rPr>
        <w:t>-</w:t>
      </w:r>
      <w:r>
        <w:rPr>
          <w:rFonts w:ascii="Times New Roman" w:hAnsi="Times New Roman" w:cs="Times New Roman"/>
          <w:lang w:val="en-CA"/>
        </w:rPr>
        <w:t xml:space="preserve">41. </w:t>
      </w:r>
      <w:r w:rsidRPr="00431F3C">
        <w:rPr>
          <w:rFonts w:ascii="Times New Roman" w:hAnsi="Times New Roman" w:cs="Times New Roman"/>
          <w:lang w:val="en-CA"/>
        </w:rPr>
        <w:t>Cheltenham: Edward Elgar.</w:t>
      </w:r>
    </w:p>
    <w:p w14:paraId="16A72E2D" w14:textId="77777777" w:rsidR="00BE2BAD" w:rsidRPr="00431F3C" w:rsidRDefault="00BE2BAD" w:rsidP="00BE2BAD">
      <w:pPr>
        <w:spacing w:line="480" w:lineRule="auto"/>
        <w:ind w:left="709" w:hanging="709"/>
        <w:jc w:val="both"/>
        <w:rPr>
          <w:rFonts w:ascii="Times New Roman" w:hAnsi="Times New Roman" w:cs="Times New Roman"/>
          <w:lang w:val="en-CA"/>
        </w:rPr>
      </w:pPr>
      <w:r w:rsidRPr="00431F3C">
        <w:rPr>
          <w:rFonts w:ascii="Times New Roman" w:hAnsi="Times New Roman" w:cs="Times New Roman"/>
          <w:lang w:val="en-CA"/>
        </w:rPr>
        <w:t>Been, J., Caminada, K., Goudswaa</w:t>
      </w:r>
      <w:r>
        <w:rPr>
          <w:rFonts w:ascii="Times New Roman" w:hAnsi="Times New Roman" w:cs="Times New Roman"/>
          <w:lang w:val="en-CA"/>
        </w:rPr>
        <w:t>rd, K. and Van Vliet, O. (2017)</w:t>
      </w:r>
      <w:r w:rsidRPr="00431F3C">
        <w:rPr>
          <w:rFonts w:ascii="Times New Roman" w:hAnsi="Times New Roman" w:cs="Times New Roman"/>
          <w:lang w:val="en-CA"/>
        </w:rPr>
        <w:t xml:space="preserve"> </w:t>
      </w:r>
      <w:r>
        <w:rPr>
          <w:rFonts w:ascii="Times New Roman" w:hAnsi="Times New Roman" w:cs="Times New Roman"/>
          <w:lang w:val="en-CA"/>
        </w:rPr>
        <w:t>‘</w:t>
      </w:r>
      <w:r w:rsidRPr="00431F3C">
        <w:rPr>
          <w:rFonts w:ascii="Times New Roman" w:hAnsi="Times New Roman" w:cs="Times New Roman"/>
          <w:lang w:val="en-CA"/>
        </w:rPr>
        <w:t>Public/Private Pension Mix, Income Inequality and Poverty among the Elderly in Europe: An Empirical Analysis Using New and Revised OECD Data</w:t>
      </w:r>
      <w:r>
        <w:rPr>
          <w:rFonts w:ascii="Times New Roman" w:hAnsi="Times New Roman" w:cs="Times New Roman"/>
          <w:lang w:val="en-CA"/>
        </w:rPr>
        <w:t>’</w:t>
      </w:r>
      <w:r w:rsidRPr="00431F3C">
        <w:rPr>
          <w:rFonts w:ascii="Times New Roman" w:hAnsi="Times New Roman" w:cs="Times New Roman"/>
          <w:lang w:val="en-CA"/>
        </w:rPr>
        <w:t xml:space="preserve">, </w:t>
      </w:r>
      <w:r w:rsidRPr="00431F3C">
        <w:rPr>
          <w:rFonts w:ascii="Times New Roman" w:hAnsi="Times New Roman" w:cs="Times New Roman"/>
          <w:i/>
          <w:lang w:val="en-CA"/>
        </w:rPr>
        <w:t>Social Policy and Administration</w:t>
      </w:r>
      <w:r>
        <w:rPr>
          <w:rFonts w:ascii="Times New Roman" w:hAnsi="Times New Roman" w:cs="Times New Roman"/>
          <w:lang w:val="en-CA"/>
        </w:rPr>
        <w:t xml:space="preserve"> 51(</w:t>
      </w:r>
      <w:r w:rsidRPr="00431F3C">
        <w:rPr>
          <w:rFonts w:ascii="Times New Roman" w:hAnsi="Times New Roman" w:cs="Times New Roman"/>
          <w:lang w:val="en-CA"/>
        </w:rPr>
        <w:t>7</w:t>
      </w:r>
      <w:r>
        <w:rPr>
          <w:rFonts w:ascii="Times New Roman" w:hAnsi="Times New Roman" w:cs="Times New Roman"/>
          <w:lang w:val="en-CA"/>
        </w:rPr>
        <w:t>)</w:t>
      </w:r>
      <w:r w:rsidRPr="00431F3C">
        <w:rPr>
          <w:rFonts w:ascii="Times New Roman" w:hAnsi="Times New Roman" w:cs="Times New Roman"/>
          <w:lang w:val="en-CA"/>
        </w:rPr>
        <w:t>: 1079-1100.</w:t>
      </w:r>
    </w:p>
    <w:p w14:paraId="26A324AE" w14:textId="77777777" w:rsidR="00BE2BAD" w:rsidRPr="00431F3C" w:rsidRDefault="00BE2BAD" w:rsidP="00BE2BAD">
      <w:pPr>
        <w:spacing w:line="480" w:lineRule="auto"/>
        <w:ind w:left="709" w:hanging="709"/>
        <w:jc w:val="both"/>
        <w:rPr>
          <w:rFonts w:ascii="Times New Roman" w:hAnsi="Times New Roman" w:cs="Times New Roman"/>
          <w:lang w:val="en-CA"/>
        </w:rPr>
      </w:pPr>
      <w:r w:rsidRPr="00431F3C">
        <w:rPr>
          <w:rFonts w:ascii="Times New Roman" w:hAnsi="Times New Roman" w:cs="Times New Roman"/>
          <w:lang w:val="en-CA"/>
        </w:rPr>
        <w:t xml:space="preserve">Béland, D., Blomqvist, P., Goul Andersen, J., </w:t>
      </w:r>
      <w:r>
        <w:rPr>
          <w:rFonts w:ascii="Times New Roman" w:hAnsi="Times New Roman" w:cs="Times New Roman"/>
          <w:lang w:val="en-CA"/>
        </w:rPr>
        <w:t>Palme, J. and Waddan, A. (2014)</w:t>
      </w:r>
      <w:r w:rsidRPr="00431F3C">
        <w:rPr>
          <w:rFonts w:ascii="Times New Roman" w:hAnsi="Times New Roman" w:cs="Times New Roman"/>
          <w:lang w:val="en-CA"/>
        </w:rPr>
        <w:t xml:space="preserve"> </w:t>
      </w:r>
      <w:r>
        <w:rPr>
          <w:rFonts w:ascii="Times New Roman" w:hAnsi="Times New Roman" w:cs="Times New Roman"/>
          <w:lang w:val="en-CA"/>
        </w:rPr>
        <w:t>‘</w:t>
      </w:r>
      <w:r w:rsidRPr="00431F3C">
        <w:rPr>
          <w:rFonts w:ascii="Times New Roman" w:hAnsi="Times New Roman" w:cs="Times New Roman"/>
          <w:lang w:val="en-CA"/>
        </w:rPr>
        <w:t>The Universal Decline of Universality? Social Policy Change in Canada, Denmark, Sweden and the UK</w:t>
      </w:r>
      <w:r>
        <w:rPr>
          <w:rFonts w:ascii="Times New Roman" w:hAnsi="Times New Roman" w:cs="Times New Roman"/>
          <w:lang w:val="en-CA"/>
        </w:rPr>
        <w:t>’</w:t>
      </w:r>
      <w:r w:rsidRPr="00431F3C">
        <w:rPr>
          <w:rFonts w:ascii="Times New Roman" w:hAnsi="Times New Roman" w:cs="Times New Roman"/>
          <w:lang w:val="en-CA"/>
        </w:rPr>
        <w:t xml:space="preserve">, </w:t>
      </w:r>
      <w:r w:rsidRPr="00431F3C">
        <w:rPr>
          <w:rFonts w:ascii="Times New Roman" w:hAnsi="Times New Roman" w:cs="Times New Roman"/>
          <w:i/>
          <w:lang w:val="en-CA"/>
        </w:rPr>
        <w:t>Social Policy and Administration</w:t>
      </w:r>
      <w:r>
        <w:rPr>
          <w:rFonts w:ascii="Times New Roman" w:hAnsi="Times New Roman" w:cs="Times New Roman"/>
          <w:lang w:val="en-CA"/>
        </w:rPr>
        <w:t xml:space="preserve"> 48(</w:t>
      </w:r>
      <w:r w:rsidRPr="00431F3C">
        <w:rPr>
          <w:rFonts w:ascii="Times New Roman" w:hAnsi="Times New Roman" w:cs="Times New Roman"/>
          <w:lang w:val="en-CA"/>
        </w:rPr>
        <w:t>7</w:t>
      </w:r>
      <w:r>
        <w:rPr>
          <w:rFonts w:ascii="Times New Roman" w:hAnsi="Times New Roman" w:cs="Times New Roman"/>
          <w:lang w:val="en-CA"/>
        </w:rPr>
        <w:t>)</w:t>
      </w:r>
      <w:r w:rsidRPr="00431F3C">
        <w:rPr>
          <w:rFonts w:ascii="Times New Roman" w:hAnsi="Times New Roman" w:cs="Times New Roman"/>
          <w:lang w:val="en-CA"/>
        </w:rPr>
        <w:t>: 739-56.</w:t>
      </w:r>
    </w:p>
    <w:p w14:paraId="5BC2E0C1" w14:textId="77777777" w:rsidR="00BE2BAD" w:rsidRPr="00431F3C" w:rsidRDefault="00BE2BAD" w:rsidP="00BE2BAD">
      <w:pPr>
        <w:spacing w:line="480" w:lineRule="auto"/>
        <w:ind w:left="709" w:hanging="709"/>
        <w:jc w:val="both"/>
        <w:rPr>
          <w:rFonts w:ascii="Times New Roman" w:hAnsi="Times New Roman" w:cs="Times New Roman"/>
          <w:shd w:val="clear" w:color="auto" w:fill="FFFFFF"/>
          <w:lang w:val="en-CA"/>
        </w:rPr>
      </w:pPr>
      <w:r w:rsidRPr="00431F3C">
        <w:rPr>
          <w:rFonts w:ascii="Times New Roman" w:hAnsi="Times New Roman" w:cs="Times New Roman"/>
          <w:shd w:val="clear" w:color="auto" w:fill="FFFFFF"/>
          <w:lang w:val="en-CA"/>
        </w:rPr>
        <w:t xml:space="preserve">Beramendi, P., Häusermann, S., Kitschelt, H. and Kriesi, H. (2015) </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Introduction: The Politics of Advanced Capitalism</w:t>
      </w:r>
      <w:r>
        <w:rPr>
          <w:rFonts w:ascii="Times New Roman" w:hAnsi="Times New Roman" w:cs="Times New Roman"/>
          <w:shd w:val="clear" w:color="auto" w:fill="FFFFFF"/>
          <w:lang w:val="en-CA"/>
        </w:rPr>
        <w:t>’, i</w:t>
      </w:r>
      <w:r w:rsidRPr="00431F3C">
        <w:rPr>
          <w:rFonts w:ascii="Times New Roman" w:hAnsi="Times New Roman" w:cs="Times New Roman"/>
          <w:shd w:val="clear" w:color="auto" w:fill="FFFFFF"/>
          <w:lang w:val="en-CA"/>
        </w:rPr>
        <w:t xml:space="preserve">n P. Beramendi, S. Häusermann, H. Kitschelt, and H. Kriesi (eds), </w:t>
      </w:r>
      <w:r w:rsidRPr="00431F3C">
        <w:rPr>
          <w:rFonts w:ascii="Times New Roman" w:hAnsi="Times New Roman" w:cs="Times New Roman"/>
          <w:i/>
          <w:shd w:val="clear" w:color="auto" w:fill="FFFFFF"/>
          <w:lang w:val="en-CA"/>
        </w:rPr>
        <w:t>The Politics of Advanced Capitalism</w:t>
      </w:r>
      <w:r w:rsidRPr="00431F3C">
        <w:rPr>
          <w:rFonts w:ascii="Times New Roman" w:hAnsi="Times New Roman" w:cs="Times New Roman"/>
          <w:shd w:val="clear" w:color="auto" w:fill="FFFFFF"/>
          <w:lang w:val="en-CA"/>
        </w:rPr>
        <w:t xml:space="preserve">, </w:t>
      </w:r>
      <w:r>
        <w:rPr>
          <w:rFonts w:ascii="Times New Roman" w:hAnsi="Times New Roman" w:cs="Times New Roman"/>
          <w:shd w:val="clear" w:color="auto" w:fill="FFFFFF"/>
          <w:lang w:val="en-CA"/>
        </w:rPr>
        <w:t xml:space="preserve">pp. 1-64. </w:t>
      </w:r>
      <w:r w:rsidRPr="00431F3C">
        <w:rPr>
          <w:rFonts w:ascii="Times New Roman" w:hAnsi="Times New Roman" w:cs="Times New Roman"/>
          <w:shd w:val="clear" w:color="auto" w:fill="FFFFFF"/>
          <w:lang w:val="en-CA"/>
        </w:rPr>
        <w:t>Cambridge: Camb</w:t>
      </w:r>
      <w:r>
        <w:rPr>
          <w:rFonts w:ascii="Times New Roman" w:hAnsi="Times New Roman" w:cs="Times New Roman"/>
          <w:shd w:val="clear" w:color="auto" w:fill="FFFFFF"/>
          <w:lang w:val="en-CA"/>
        </w:rPr>
        <w:t>ridge University Press</w:t>
      </w:r>
      <w:r w:rsidRPr="00431F3C">
        <w:rPr>
          <w:rFonts w:ascii="Times New Roman" w:hAnsi="Times New Roman" w:cs="Times New Roman"/>
          <w:shd w:val="clear" w:color="auto" w:fill="FFFFFF"/>
          <w:lang w:val="en-CA"/>
        </w:rPr>
        <w:t>.</w:t>
      </w:r>
    </w:p>
    <w:p w14:paraId="5E353922" w14:textId="77777777" w:rsidR="00BE2BAD" w:rsidRPr="00431F3C" w:rsidRDefault="00BE2BAD" w:rsidP="00BE2BAD">
      <w:pPr>
        <w:spacing w:line="480" w:lineRule="auto"/>
        <w:ind w:left="709" w:hanging="709"/>
        <w:jc w:val="both"/>
        <w:rPr>
          <w:rFonts w:ascii="Times New Roman" w:hAnsi="Times New Roman" w:cs="Times New Roman"/>
          <w:shd w:val="clear" w:color="auto" w:fill="FFFFFF"/>
          <w:lang w:val="en-CA"/>
        </w:rPr>
      </w:pPr>
      <w:r w:rsidRPr="00431F3C">
        <w:rPr>
          <w:rFonts w:ascii="Times New Roman" w:hAnsi="Times New Roman" w:cs="Times New Roman"/>
          <w:shd w:val="clear" w:color="auto" w:fill="FFFFFF"/>
          <w:lang w:val="en-CA"/>
        </w:rPr>
        <w:t xml:space="preserve">Birnbaum, S., Ferrarini, T., Nelson, K. and </w:t>
      </w:r>
      <w:r>
        <w:rPr>
          <w:rFonts w:ascii="Times New Roman" w:hAnsi="Times New Roman" w:cs="Times New Roman"/>
          <w:shd w:val="clear" w:color="auto" w:fill="FFFFFF"/>
          <w:lang w:val="en-CA"/>
        </w:rPr>
        <w:t>Palme, J. (2017)</w:t>
      </w:r>
      <w:r w:rsidRPr="00431F3C">
        <w:rPr>
          <w:rFonts w:ascii="Times New Roman" w:hAnsi="Times New Roman" w:cs="Times New Roman"/>
          <w:shd w:val="clear" w:color="auto" w:fill="FFFFFF"/>
          <w:lang w:val="en-CA"/>
        </w:rPr>
        <w:t xml:space="preserve"> </w:t>
      </w:r>
      <w:r w:rsidRPr="00431F3C">
        <w:rPr>
          <w:rFonts w:ascii="Times New Roman" w:hAnsi="Times New Roman" w:cs="Times New Roman"/>
          <w:i/>
          <w:shd w:val="clear" w:color="auto" w:fill="FFFFFF"/>
          <w:lang w:val="en-CA"/>
        </w:rPr>
        <w:t>The Generational Welfare Contract: Justice, Institutions and Outcomes</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 xml:space="preserve"> Cheltenham: Edward Elgar.</w:t>
      </w:r>
    </w:p>
    <w:p w14:paraId="3ADDB235" w14:textId="77777777" w:rsidR="00BE2BAD" w:rsidRPr="00431F3C" w:rsidRDefault="00BE2BAD" w:rsidP="00BE2BAD">
      <w:pPr>
        <w:spacing w:line="480" w:lineRule="auto"/>
        <w:ind w:left="709" w:hanging="709"/>
        <w:jc w:val="both"/>
        <w:rPr>
          <w:rFonts w:ascii="Times New Roman" w:hAnsi="Times New Roman" w:cs="Times New Roman"/>
          <w:shd w:val="clear" w:color="auto" w:fill="FFFFFF"/>
          <w:lang w:val="en-CA"/>
        </w:rPr>
      </w:pPr>
      <w:r w:rsidRPr="00431F3C">
        <w:rPr>
          <w:rStyle w:val="wzbaktiv-autor"/>
          <w:rFonts w:ascii="Times New Roman" w:hAnsi="Times New Roman" w:cs="Times New Roman"/>
          <w:shd w:val="clear" w:color="auto" w:fill="FFFFFF"/>
          <w:lang w:val="en-CA"/>
        </w:rPr>
        <w:t>Brady, D.</w:t>
      </w:r>
      <w:r w:rsidRPr="00431F3C">
        <w:rPr>
          <w:rFonts w:ascii="Times New Roman" w:hAnsi="Times New Roman" w:cs="Times New Roman"/>
          <w:shd w:val="clear" w:color="auto" w:fill="FFFFFF"/>
          <w:lang w:val="en-CA"/>
        </w:rPr>
        <w:t xml:space="preserve"> and </w:t>
      </w:r>
      <w:r w:rsidRPr="00431F3C">
        <w:rPr>
          <w:rStyle w:val="wzbaktiv-autor"/>
          <w:rFonts w:ascii="Times New Roman" w:hAnsi="Times New Roman" w:cs="Times New Roman"/>
          <w:shd w:val="clear" w:color="auto" w:fill="FFFFFF"/>
          <w:lang w:val="en-CA"/>
        </w:rPr>
        <w:t>Bostic, A.</w:t>
      </w:r>
      <w:r w:rsidRPr="00431F3C">
        <w:rPr>
          <w:rStyle w:val="apple-converted-space"/>
          <w:rFonts w:ascii="Times New Roman" w:hAnsi="Times New Roman" w:cs="Times New Roman"/>
          <w:shd w:val="clear" w:color="auto" w:fill="FFFFFF"/>
          <w:lang w:val="en-CA"/>
        </w:rPr>
        <w:t xml:space="preserve"> (</w:t>
      </w:r>
      <w:r w:rsidRPr="00431F3C">
        <w:rPr>
          <w:rFonts w:ascii="Times New Roman" w:hAnsi="Times New Roman" w:cs="Times New Roman"/>
          <w:shd w:val="clear" w:color="auto" w:fill="FFFFFF"/>
          <w:lang w:val="en-CA"/>
        </w:rPr>
        <w:t xml:space="preserve">2015) </w:t>
      </w:r>
      <w:r>
        <w:rPr>
          <w:rFonts w:ascii="Times New Roman" w:hAnsi="Times New Roman" w:cs="Times New Roman"/>
          <w:shd w:val="clear" w:color="auto" w:fill="FFFFFF"/>
          <w:lang w:val="en-CA"/>
        </w:rPr>
        <w:t>‘</w:t>
      </w:r>
      <w:r w:rsidRPr="00431F3C">
        <w:rPr>
          <w:rFonts w:ascii="Times New Roman" w:hAnsi="Times New Roman" w:cs="Times New Roman"/>
          <w:lang w:val="en-CA"/>
        </w:rPr>
        <w:t>Paradoxes of Social Policy</w:t>
      </w:r>
      <w:r w:rsidRPr="00431F3C">
        <w:rPr>
          <w:rFonts w:ascii="Times New Roman" w:hAnsi="Times New Roman" w:cs="Times New Roman"/>
          <w:shd w:val="clear" w:color="auto" w:fill="FFFFFF"/>
          <w:lang w:val="en-CA"/>
        </w:rPr>
        <w:t xml:space="preserve"> Welfare Transfers, Relative Poverty, and Redistribution Preferences</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 xml:space="preserve">, </w:t>
      </w:r>
      <w:r w:rsidRPr="00431F3C">
        <w:rPr>
          <w:rFonts w:ascii="Times New Roman" w:hAnsi="Times New Roman" w:cs="Times New Roman"/>
          <w:i/>
          <w:iCs/>
          <w:shd w:val="clear" w:color="auto" w:fill="FFFFFF"/>
          <w:lang w:val="en-CA"/>
        </w:rPr>
        <w:t>American Sociological Review</w:t>
      </w:r>
      <w:r w:rsidRPr="00431F3C">
        <w:rPr>
          <w:rFonts w:ascii="Times New Roman" w:hAnsi="Times New Roman" w:cs="Times New Roman"/>
          <w:shd w:val="clear" w:color="auto" w:fill="FFFFFF"/>
          <w:lang w:val="en-CA"/>
        </w:rPr>
        <w:t xml:space="preserve"> 80(2): 268-98.</w:t>
      </w:r>
    </w:p>
    <w:p w14:paraId="660A6176" w14:textId="77777777" w:rsidR="00BE2BAD" w:rsidRPr="00431F3C" w:rsidRDefault="00BE2BAD" w:rsidP="00BE2BAD">
      <w:pPr>
        <w:spacing w:line="480" w:lineRule="auto"/>
        <w:ind w:left="709" w:hanging="709"/>
        <w:jc w:val="both"/>
        <w:rPr>
          <w:rFonts w:ascii="Times New Roman" w:hAnsi="Times New Roman" w:cs="Times New Roman"/>
          <w:shd w:val="clear" w:color="auto" w:fill="FFFFFF"/>
          <w:lang w:val="en-CA"/>
        </w:rPr>
      </w:pPr>
      <w:r w:rsidRPr="00431F3C">
        <w:rPr>
          <w:rFonts w:ascii="Times New Roman" w:hAnsi="Times New Roman" w:cs="Times New Roman"/>
          <w:shd w:val="clear" w:color="auto" w:fill="FFFFFF"/>
          <w:lang w:val="en-CA"/>
        </w:rPr>
        <w:lastRenderedPageBreak/>
        <w:t xml:space="preserve">Brady, D. and Burroway, R. (2012) </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Targeting, Universalism and Single Mother Poverty: A Multi-Level Analysis Across 18 Affluent Democracies</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 xml:space="preserve">, </w:t>
      </w:r>
      <w:r w:rsidRPr="00431F3C">
        <w:rPr>
          <w:rFonts w:ascii="Times New Roman" w:hAnsi="Times New Roman" w:cs="Times New Roman"/>
          <w:i/>
          <w:iCs/>
          <w:shd w:val="clear" w:color="auto" w:fill="FFFFFF"/>
          <w:lang w:val="en-CA"/>
        </w:rPr>
        <w:t>Demography</w:t>
      </w:r>
      <w:r w:rsidRPr="00431F3C">
        <w:rPr>
          <w:rFonts w:ascii="Times New Roman" w:hAnsi="Times New Roman" w:cs="Times New Roman"/>
          <w:shd w:val="clear" w:color="auto" w:fill="FFFFFF"/>
          <w:lang w:val="en-CA"/>
        </w:rPr>
        <w:t xml:space="preserve"> 49</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2</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 719-46.</w:t>
      </w:r>
    </w:p>
    <w:p w14:paraId="3749CD46" w14:textId="77777777" w:rsidR="00BE2BAD" w:rsidRPr="00431F3C" w:rsidRDefault="00BE2BAD" w:rsidP="00BE2BAD">
      <w:pPr>
        <w:spacing w:line="480" w:lineRule="auto"/>
        <w:ind w:left="709" w:hanging="709"/>
        <w:jc w:val="both"/>
        <w:rPr>
          <w:rFonts w:ascii="Times New Roman" w:hAnsi="Times New Roman" w:cs="Times New Roman"/>
          <w:shd w:val="clear" w:color="auto" w:fill="FFFFFF"/>
          <w:lang w:val="en-CA"/>
        </w:rPr>
      </w:pPr>
      <w:r w:rsidRPr="00431F3C">
        <w:rPr>
          <w:rFonts w:ascii="Times New Roman" w:hAnsi="Times New Roman" w:cs="Times New Roman"/>
          <w:shd w:val="clear" w:color="auto" w:fill="FFFFFF"/>
          <w:lang w:val="en-CA"/>
        </w:rPr>
        <w:t>Caminada, K., Goudswaard, K., Wang,</w:t>
      </w:r>
      <w:r>
        <w:rPr>
          <w:rFonts w:ascii="Times New Roman" w:hAnsi="Times New Roman" w:cs="Times New Roman"/>
          <w:shd w:val="clear" w:color="auto" w:fill="FFFFFF"/>
          <w:lang w:val="en-CA"/>
        </w:rPr>
        <w:t xml:space="preserve"> C. and Wang, J. (2019)</w:t>
      </w:r>
      <w:r w:rsidRPr="00431F3C">
        <w:rPr>
          <w:rFonts w:ascii="Times New Roman" w:hAnsi="Times New Roman" w:cs="Times New Roman"/>
          <w:shd w:val="clear" w:color="auto" w:fill="FFFFFF"/>
          <w:lang w:val="en-CA"/>
        </w:rPr>
        <w:t xml:space="preserve"> </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Income Inequality and Fiscal Redistribution in 31 Countries After the Crisis</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 xml:space="preserve">, </w:t>
      </w:r>
      <w:r w:rsidRPr="00431F3C">
        <w:rPr>
          <w:rFonts w:ascii="Times New Roman" w:hAnsi="Times New Roman" w:cs="Times New Roman"/>
          <w:i/>
          <w:shd w:val="clear" w:color="auto" w:fill="FFFFFF"/>
          <w:lang w:val="en-CA"/>
        </w:rPr>
        <w:t>Comparative Economic Studies</w:t>
      </w:r>
      <w:r>
        <w:rPr>
          <w:rFonts w:ascii="Times New Roman" w:hAnsi="Times New Roman" w:cs="Times New Roman"/>
          <w:shd w:val="clear" w:color="auto" w:fill="FFFFFF"/>
          <w:lang w:val="en-CA"/>
        </w:rPr>
        <w:t xml:space="preserve"> 61(</w:t>
      </w:r>
      <w:r w:rsidRPr="00431F3C">
        <w:rPr>
          <w:rFonts w:ascii="Times New Roman" w:hAnsi="Times New Roman" w:cs="Times New Roman"/>
          <w:shd w:val="clear" w:color="auto" w:fill="FFFFFF"/>
          <w:lang w:val="en-CA"/>
        </w:rPr>
        <w:t>1</w:t>
      </w:r>
      <w:r>
        <w:rPr>
          <w:rFonts w:ascii="Times New Roman" w:hAnsi="Times New Roman" w:cs="Times New Roman"/>
          <w:shd w:val="clear" w:color="auto" w:fill="FFFFFF"/>
          <w:lang w:val="en-CA"/>
        </w:rPr>
        <w:t>): 119-</w:t>
      </w:r>
      <w:r w:rsidRPr="00431F3C">
        <w:rPr>
          <w:rFonts w:ascii="Times New Roman" w:hAnsi="Times New Roman" w:cs="Times New Roman"/>
          <w:shd w:val="clear" w:color="auto" w:fill="FFFFFF"/>
          <w:lang w:val="en-CA"/>
        </w:rPr>
        <w:t>48</w:t>
      </w:r>
      <w:r>
        <w:rPr>
          <w:rFonts w:ascii="Times New Roman" w:hAnsi="Times New Roman" w:cs="Times New Roman"/>
          <w:shd w:val="clear" w:color="auto" w:fill="FFFFFF"/>
          <w:lang w:val="en-CA"/>
        </w:rPr>
        <w:t>.</w:t>
      </w:r>
    </w:p>
    <w:p w14:paraId="2554D55E" w14:textId="77777777" w:rsidR="00BE2BAD" w:rsidRPr="00431F3C" w:rsidRDefault="00BE2BAD" w:rsidP="00BE2BAD">
      <w:pPr>
        <w:spacing w:line="480" w:lineRule="auto"/>
        <w:ind w:left="709" w:hanging="709"/>
        <w:jc w:val="both"/>
        <w:rPr>
          <w:rFonts w:ascii="Times New Roman" w:hAnsi="Times New Roman" w:cs="Times New Roman"/>
          <w:shd w:val="clear" w:color="auto" w:fill="FFFFFF"/>
          <w:lang w:val="en-CA"/>
        </w:rPr>
      </w:pPr>
      <w:r w:rsidRPr="00431F3C">
        <w:rPr>
          <w:rFonts w:ascii="Times New Roman" w:hAnsi="Times New Roman" w:cs="Times New Roman"/>
          <w:shd w:val="clear" w:color="auto" w:fill="FFFFFF"/>
          <w:lang w:val="en-CA"/>
        </w:rPr>
        <w:t>Castles</w:t>
      </w:r>
      <w:r>
        <w:rPr>
          <w:rFonts w:ascii="Times New Roman" w:hAnsi="Times New Roman" w:cs="Times New Roman"/>
          <w:shd w:val="clear" w:color="auto" w:fill="FFFFFF"/>
          <w:lang w:val="en-CA"/>
        </w:rPr>
        <w:t>, F. G. (2010)</w:t>
      </w:r>
      <w:r w:rsidRPr="00431F3C">
        <w:rPr>
          <w:rFonts w:ascii="Times New Roman" w:hAnsi="Times New Roman" w:cs="Times New Roman"/>
          <w:shd w:val="clear" w:color="auto" w:fill="FFFFFF"/>
          <w:lang w:val="en-CA"/>
        </w:rPr>
        <w:t xml:space="preserve"> </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T</w:t>
      </w:r>
      <w:r>
        <w:rPr>
          <w:rFonts w:ascii="Times New Roman" w:hAnsi="Times New Roman" w:cs="Times New Roman"/>
          <w:shd w:val="clear" w:color="auto" w:fill="FFFFFF"/>
          <w:lang w:val="en-CA"/>
        </w:rPr>
        <w:t>he English-Speaking Countries’, i</w:t>
      </w:r>
      <w:r w:rsidRPr="00431F3C">
        <w:rPr>
          <w:rFonts w:ascii="Times New Roman" w:hAnsi="Times New Roman" w:cs="Times New Roman"/>
          <w:shd w:val="clear" w:color="auto" w:fill="FFFFFF"/>
          <w:lang w:val="en-CA"/>
        </w:rPr>
        <w:t xml:space="preserve">n F. G. Castles, S. </w:t>
      </w:r>
      <w:r>
        <w:rPr>
          <w:rFonts w:ascii="Times New Roman" w:hAnsi="Times New Roman" w:cs="Times New Roman"/>
          <w:shd w:val="clear" w:color="auto" w:fill="FFFFFF"/>
          <w:lang w:val="en-CA"/>
        </w:rPr>
        <w:t>Leibfried, J. Lewis, H. Obinger</w:t>
      </w:r>
      <w:r w:rsidRPr="00431F3C">
        <w:rPr>
          <w:rFonts w:ascii="Times New Roman" w:hAnsi="Times New Roman" w:cs="Times New Roman"/>
          <w:shd w:val="clear" w:color="auto" w:fill="FFFFFF"/>
          <w:lang w:val="en-CA"/>
        </w:rPr>
        <w:t xml:space="preserve"> and C. Pierson (eds), </w:t>
      </w:r>
      <w:r w:rsidRPr="00431F3C">
        <w:rPr>
          <w:rFonts w:ascii="Times New Roman" w:hAnsi="Times New Roman" w:cs="Times New Roman"/>
          <w:i/>
          <w:shd w:val="clear" w:color="auto" w:fill="FFFFFF"/>
          <w:lang w:val="en-CA"/>
        </w:rPr>
        <w:t>The Oxford Handbook of the Welfare State,</w:t>
      </w:r>
      <w:r w:rsidRPr="00431F3C">
        <w:rPr>
          <w:rFonts w:ascii="Times New Roman" w:hAnsi="Times New Roman" w:cs="Times New Roman"/>
          <w:shd w:val="clear" w:color="auto" w:fill="FFFFFF"/>
          <w:lang w:val="en-CA"/>
        </w:rPr>
        <w:t xml:space="preserve"> </w:t>
      </w:r>
      <w:r>
        <w:rPr>
          <w:rFonts w:ascii="Times New Roman" w:hAnsi="Times New Roman" w:cs="Times New Roman"/>
          <w:shd w:val="clear" w:color="auto" w:fill="FFFFFF"/>
          <w:lang w:val="en-CA"/>
        </w:rPr>
        <w:t xml:space="preserve">pp. 630-42. </w:t>
      </w:r>
      <w:r w:rsidRPr="00431F3C">
        <w:rPr>
          <w:rFonts w:ascii="Times New Roman" w:hAnsi="Times New Roman" w:cs="Times New Roman"/>
          <w:shd w:val="clear" w:color="auto" w:fill="FFFFFF"/>
          <w:lang w:val="en-CA"/>
        </w:rPr>
        <w:t>Oxford: Oxford University Press.</w:t>
      </w:r>
    </w:p>
    <w:p w14:paraId="428A2FF2" w14:textId="77777777" w:rsidR="00BE2BAD" w:rsidRPr="00431F3C" w:rsidRDefault="00BE2BAD" w:rsidP="00BE2BAD">
      <w:pPr>
        <w:spacing w:line="480" w:lineRule="auto"/>
        <w:ind w:left="709" w:hanging="709"/>
        <w:jc w:val="both"/>
        <w:rPr>
          <w:rFonts w:ascii="Times New Roman" w:hAnsi="Times New Roman" w:cs="Times New Roman"/>
          <w:shd w:val="clear" w:color="auto" w:fill="FFFFFF"/>
          <w:lang w:val="en-CA"/>
        </w:rPr>
      </w:pPr>
      <w:r w:rsidRPr="00431F3C">
        <w:rPr>
          <w:rFonts w:ascii="Times New Roman" w:hAnsi="Times New Roman" w:cs="Times New Roman"/>
          <w:shd w:val="clear" w:color="auto" w:fill="FFFFFF"/>
          <w:lang w:val="en-CA"/>
        </w:rPr>
        <w:t xml:space="preserve">Causa, O. and Hermansen, M. (2017) </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Income Redistribution Through Taxes and Transfers Across OECD Countries</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 xml:space="preserve">, </w:t>
      </w:r>
      <w:r w:rsidRPr="00431F3C">
        <w:rPr>
          <w:rFonts w:ascii="Times New Roman" w:hAnsi="Times New Roman" w:cs="Times New Roman"/>
          <w:i/>
          <w:shd w:val="clear" w:color="auto" w:fill="FFFFFF"/>
          <w:lang w:val="en-CA"/>
        </w:rPr>
        <w:t>OECD Economics Department Working Papers</w:t>
      </w:r>
      <w:r w:rsidRPr="00431F3C">
        <w:rPr>
          <w:rFonts w:ascii="Times New Roman" w:hAnsi="Times New Roman" w:cs="Times New Roman"/>
          <w:shd w:val="clear" w:color="auto" w:fill="FFFFFF"/>
          <w:lang w:val="en-CA"/>
        </w:rPr>
        <w:t xml:space="preserve"> 1453, Paris: OECD.</w:t>
      </w:r>
    </w:p>
    <w:p w14:paraId="4A5E249D" w14:textId="77777777" w:rsidR="00BE2BAD" w:rsidRPr="00431F3C" w:rsidRDefault="00BE2BAD" w:rsidP="00BE2BAD">
      <w:pPr>
        <w:spacing w:line="480" w:lineRule="auto"/>
        <w:ind w:left="709" w:hanging="709"/>
        <w:jc w:val="both"/>
        <w:rPr>
          <w:rFonts w:ascii="Times New Roman" w:hAnsi="Times New Roman" w:cs="Times New Roman"/>
          <w:shd w:val="clear" w:color="auto" w:fill="FFFFFF"/>
          <w:lang w:val="en-CA"/>
        </w:rPr>
      </w:pPr>
      <w:r w:rsidRPr="00431F3C">
        <w:rPr>
          <w:rFonts w:ascii="Times New Roman" w:hAnsi="Times New Roman" w:cs="Times New Roman"/>
          <w:shd w:val="clear" w:color="auto" w:fill="FFFFFF"/>
          <w:lang w:val="en-CA"/>
        </w:rPr>
        <w:t>Deeming</w:t>
      </w:r>
      <w:r>
        <w:rPr>
          <w:rFonts w:ascii="Times New Roman" w:hAnsi="Times New Roman" w:cs="Times New Roman"/>
          <w:shd w:val="clear" w:color="auto" w:fill="FFFFFF"/>
          <w:lang w:val="en-CA"/>
        </w:rPr>
        <w:t>, C. (2018) ‘</w:t>
      </w:r>
      <w:r w:rsidRPr="00431F3C">
        <w:rPr>
          <w:rFonts w:ascii="Times New Roman" w:hAnsi="Times New Roman" w:cs="Times New Roman"/>
          <w:shd w:val="clear" w:color="auto" w:fill="FFFFFF"/>
          <w:lang w:val="en-CA"/>
        </w:rPr>
        <w:t>The Politics of (Fractured) Solidarity: A Cross-National Analysis of the Class Bases of the Welfare State</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 xml:space="preserve">, </w:t>
      </w:r>
      <w:r w:rsidRPr="00431F3C">
        <w:rPr>
          <w:rFonts w:ascii="Times New Roman" w:hAnsi="Times New Roman" w:cs="Times New Roman"/>
          <w:i/>
          <w:shd w:val="clear" w:color="auto" w:fill="FFFFFF"/>
          <w:lang w:val="en-CA"/>
        </w:rPr>
        <w:t>Social Policy and Administration</w:t>
      </w:r>
      <w:r>
        <w:rPr>
          <w:rFonts w:ascii="Times New Roman" w:hAnsi="Times New Roman" w:cs="Times New Roman"/>
          <w:shd w:val="clear" w:color="auto" w:fill="FFFFFF"/>
          <w:lang w:val="en-CA"/>
        </w:rPr>
        <w:t xml:space="preserve"> 52(5)</w:t>
      </w:r>
      <w:r w:rsidRPr="00431F3C">
        <w:rPr>
          <w:rFonts w:ascii="Times New Roman" w:hAnsi="Times New Roman" w:cs="Times New Roman"/>
          <w:shd w:val="clear" w:color="auto" w:fill="FFFFFF"/>
          <w:lang w:val="en-CA"/>
        </w:rPr>
        <w:t>: 1</w:t>
      </w:r>
      <w:r>
        <w:rPr>
          <w:rFonts w:ascii="Times New Roman" w:hAnsi="Times New Roman" w:cs="Times New Roman"/>
          <w:shd w:val="clear" w:color="auto" w:fill="FFFFFF"/>
          <w:lang w:val="en-CA"/>
        </w:rPr>
        <w:t>106-25</w:t>
      </w:r>
      <w:r w:rsidRPr="00431F3C">
        <w:rPr>
          <w:rFonts w:ascii="Times New Roman" w:hAnsi="Times New Roman" w:cs="Times New Roman"/>
          <w:shd w:val="clear" w:color="auto" w:fill="FFFFFF"/>
          <w:lang w:val="en-CA"/>
        </w:rPr>
        <w:t>.</w:t>
      </w:r>
    </w:p>
    <w:p w14:paraId="18AF82BD" w14:textId="77777777" w:rsidR="00BE2BAD" w:rsidRPr="00431F3C" w:rsidRDefault="00BE2BAD" w:rsidP="00BE2BAD">
      <w:pPr>
        <w:spacing w:line="480" w:lineRule="auto"/>
        <w:ind w:left="709" w:hanging="709"/>
        <w:jc w:val="both"/>
        <w:rPr>
          <w:rFonts w:ascii="Times New Roman" w:hAnsi="Times New Roman" w:cs="Times New Roman"/>
          <w:shd w:val="clear" w:color="auto" w:fill="FFFFFF"/>
          <w:lang w:val="en-CA"/>
        </w:rPr>
      </w:pPr>
      <w:r w:rsidRPr="00431F3C">
        <w:rPr>
          <w:rFonts w:ascii="Times New Roman" w:hAnsi="Times New Roman" w:cs="Times New Roman"/>
          <w:lang w:val="en-CA"/>
        </w:rPr>
        <w:t xml:space="preserve">Esping-Andersen, G. and Myles, J. (2009) </w:t>
      </w:r>
      <w:r>
        <w:rPr>
          <w:rFonts w:ascii="Times New Roman" w:hAnsi="Times New Roman" w:cs="Times New Roman"/>
          <w:lang w:val="en-CA"/>
        </w:rPr>
        <w:t>‘</w:t>
      </w:r>
      <w:r w:rsidRPr="00431F3C">
        <w:rPr>
          <w:rFonts w:ascii="Times New Roman" w:hAnsi="Times New Roman" w:cs="Times New Roman"/>
          <w:lang w:val="en-CA"/>
        </w:rPr>
        <w:t>Economic Inequality and the Welfare State</w:t>
      </w:r>
      <w:r>
        <w:rPr>
          <w:rFonts w:ascii="Times New Roman" w:hAnsi="Times New Roman" w:cs="Times New Roman"/>
          <w:lang w:val="en-CA"/>
        </w:rPr>
        <w:t>’, i</w:t>
      </w:r>
      <w:r w:rsidRPr="00431F3C">
        <w:rPr>
          <w:rFonts w:ascii="Times New Roman" w:hAnsi="Times New Roman" w:cs="Times New Roman"/>
          <w:lang w:val="en-CA"/>
        </w:rPr>
        <w:t xml:space="preserve">n W. Salverda, B. Nolan and T. M. Smeeding (eds), </w:t>
      </w:r>
      <w:r w:rsidRPr="00431F3C">
        <w:rPr>
          <w:rFonts w:ascii="Times New Roman" w:hAnsi="Times New Roman" w:cs="Times New Roman"/>
          <w:i/>
          <w:lang w:val="en-CA"/>
        </w:rPr>
        <w:t>The Oxford Handbook of Economic Inequality</w:t>
      </w:r>
      <w:r w:rsidRPr="00431F3C">
        <w:rPr>
          <w:rFonts w:ascii="Times New Roman" w:hAnsi="Times New Roman" w:cs="Times New Roman"/>
          <w:lang w:val="en-CA"/>
        </w:rPr>
        <w:t>, pp. 639-64</w:t>
      </w:r>
      <w:r>
        <w:rPr>
          <w:rFonts w:ascii="Times New Roman" w:hAnsi="Times New Roman" w:cs="Times New Roman"/>
          <w:lang w:val="en-CA"/>
        </w:rPr>
        <w:t xml:space="preserve">. </w:t>
      </w:r>
      <w:r w:rsidRPr="00431F3C">
        <w:rPr>
          <w:rFonts w:ascii="Times New Roman" w:hAnsi="Times New Roman" w:cs="Times New Roman"/>
          <w:lang w:val="en-CA"/>
        </w:rPr>
        <w:t>Oxford: Oxford University Press</w:t>
      </w:r>
      <w:r>
        <w:rPr>
          <w:rFonts w:ascii="Times New Roman" w:hAnsi="Times New Roman" w:cs="Times New Roman"/>
          <w:lang w:val="en-CA"/>
        </w:rPr>
        <w:t>.</w:t>
      </w:r>
    </w:p>
    <w:p w14:paraId="20374F20" w14:textId="77777777" w:rsidR="00BE2BAD" w:rsidRPr="00431F3C" w:rsidRDefault="00BE2BAD" w:rsidP="00BE2BAD">
      <w:pPr>
        <w:spacing w:line="480" w:lineRule="auto"/>
        <w:ind w:left="709" w:hanging="709"/>
        <w:jc w:val="both"/>
        <w:rPr>
          <w:rFonts w:ascii="Times New Roman" w:hAnsi="Times New Roman" w:cs="Times New Roman"/>
          <w:shd w:val="clear" w:color="auto" w:fill="FFFFFF"/>
          <w:lang w:val="en-CA"/>
        </w:rPr>
      </w:pPr>
      <w:r w:rsidRPr="00431F3C">
        <w:rPr>
          <w:rFonts w:ascii="Times New Roman" w:hAnsi="Times New Roman" w:cs="Times New Roman"/>
          <w:shd w:val="clear" w:color="auto" w:fill="FFFFFF"/>
          <w:lang w:val="en-CA"/>
        </w:rPr>
        <w:t xml:space="preserve">Ferrarini, T., Nelson, K. and Palme, J. (2016) </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Social Transfers and Poverty in Middle- and High-Income Countries — A Global Perspective</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 xml:space="preserve">, </w:t>
      </w:r>
      <w:r w:rsidRPr="00431F3C">
        <w:rPr>
          <w:rFonts w:ascii="Times New Roman" w:hAnsi="Times New Roman" w:cs="Times New Roman"/>
          <w:i/>
          <w:shd w:val="clear" w:color="auto" w:fill="FFFFFF"/>
          <w:lang w:val="en-CA"/>
        </w:rPr>
        <w:t>Global Social Policy</w:t>
      </w:r>
      <w:r w:rsidRPr="00431F3C">
        <w:rPr>
          <w:rFonts w:ascii="Times New Roman" w:hAnsi="Times New Roman" w:cs="Times New Roman"/>
          <w:shd w:val="clear" w:color="auto" w:fill="FFFFFF"/>
          <w:lang w:val="en-CA"/>
        </w:rPr>
        <w:t xml:space="preserve"> 16</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1</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 22-46.</w:t>
      </w:r>
    </w:p>
    <w:p w14:paraId="04E33687" w14:textId="77777777" w:rsidR="00BE2BAD" w:rsidRPr="00431F3C" w:rsidRDefault="00BE2BAD" w:rsidP="00BE2BAD">
      <w:pPr>
        <w:spacing w:line="480" w:lineRule="auto"/>
        <w:ind w:left="709" w:hanging="709"/>
        <w:jc w:val="both"/>
        <w:rPr>
          <w:rFonts w:ascii="Times New Roman" w:hAnsi="Times New Roman" w:cs="Times New Roman"/>
          <w:shd w:val="clear" w:color="auto" w:fill="FFFFFF"/>
          <w:lang w:val="en-CA"/>
        </w:rPr>
      </w:pPr>
      <w:r w:rsidRPr="00431F3C">
        <w:rPr>
          <w:rFonts w:ascii="Times New Roman" w:hAnsi="Times New Roman" w:cs="Times New Roman"/>
          <w:shd w:val="clear" w:color="auto" w:fill="FFFFFF"/>
          <w:lang w:val="en-CA"/>
        </w:rPr>
        <w:t xml:space="preserve">Goertz, G. and Mahoney, J. (2012) </w:t>
      </w:r>
      <w:r w:rsidRPr="00431F3C">
        <w:rPr>
          <w:rFonts w:ascii="Times New Roman" w:hAnsi="Times New Roman" w:cs="Times New Roman"/>
          <w:i/>
          <w:shd w:val="clear" w:color="auto" w:fill="FFFFFF"/>
          <w:lang w:val="en-CA"/>
        </w:rPr>
        <w:t>A Tale of Two Cultures: Qualitative and Quantitative Research in the Social Sciences</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 xml:space="preserve"> Princeton: Princeton University Press.</w:t>
      </w:r>
    </w:p>
    <w:p w14:paraId="1BAF797D" w14:textId="77777777" w:rsidR="00BE2BAD" w:rsidRPr="00431F3C" w:rsidRDefault="00BE2BAD" w:rsidP="00BE2BAD">
      <w:pPr>
        <w:spacing w:line="480" w:lineRule="auto"/>
        <w:ind w:left="709" w:hanging="709"/>
        <w:jc w:val="both"/>
        <w:rPr>
          <w:rFonts w:ascii="Times New Roman" w:hAnsi="Times New Roman" w:cs="Times New Roman"/>
          <w:shd w:val="clear" w:color="auto" w:fill="FFFFFF"/>
          <w:lang w:val="en-CA"/>
        </w:rPr>
      </w:pPr>
      <w:r w:rsidRPr="00431F3C">
        <w:rPr>
          <w:rFonts w:ascii="Times New Roman" w:hAnsi="Times New Roman" w:cs="Times New Roman"/>
          <w:shd w:val="clear" w:color="auto" w:fill="FFFFFF"/>
          <w:lang w:val="en-CA"/>
        </w:rPr>
        <w:lastRenderedPageBreak/>
        <w:t>Jacques, O. and Noël, A. (2018)</w:t>
      </w:r>
      <w:r>
        <w:rPr>
          <w:rFonts w:ascii="Times New Roman" w:hAnsi="Times New Roman" w:cs="Times New Roman"/>
          <w:shd w:val="clear" w:color="auto" w:fill="FFFFFF"/>
          <w:lang w:val="en-CA"/>
        </w:rPr>
        <w:t xml:space="preserve"> ‘</w:t>
      </w:r>
      <w:r w:rsidRPr="00431F3C">
        <w:rPr>
          <w:rFonts w:ascii="Times New Roman" w:hAnsi="Times New Roman" w:cs="Times New Roman"/>
          <w:shd w:val="clear" w:color="auto" w:fill="FFFFFF"/>
          <w:lang w:val="en-CA"/>
        </w:rPr>
        <w:t>The Case for Welfare State Universalism, or the Lasting Relevance of the Paradox of Redistribution</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 xml:space="preserve">, </w:t>
      </w:r>
      <w:r w:rsidRPr="00431F3C">
        <w:rPr>
          <w:rFonts w:ascii="Times New Roman" w:hAnsi="Times New Roman" w:cs="Times New Roman"/>
          <w:i/>
          <w:shd w:val="clear" w:color="auto" w:fill="FFFFFF"/>
          <w:lang w:val="en-CA"/>
        </w:rPr>
        <w:t>Journal of European Social Policy</w:t>
      </w:r>
      <w:r>
        <w:rPr>
          <w:rFonts w:ascii="Times New Roman" w:hAnsi="Times New Roman" w:cs="Times New Roman"/>
          <w:shd w:val="clear" w:color="auto" w:fill="FFFFFF"/>
          <w:lang w:val="en-CA"/>
        </w:rPr>
        <w:t xml:space="preserve"> </w:t>
      </w:r>
      <w:r w:rsidRPr="00431F3C">
        <w:rPr>
          <w:rFonts w:ascii="Times New Roman" w:hAnsi="Times New Roman" w:cs="Times New Roman"/>
          <w:shd w:val="clear" w:color="auto" w:fill="FFFFFF"/>
          <w:lang w:val="en-CA"/>
        </w:rPr>
        <w:t>28</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1</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 70-85.</w:t>
      </w:r>
    </w:p>
    <w:p w14:paraId="35D47CD7" w14:textId="77777777" w:rsidR="00BE2BAD" w:rsidRPr="00431F3C" w:rsidRDefault="00BE2BAD" w:rsidP="00BE2BAD">
      <w:pPr>
        <w:spacing w:line="480" w:lineRule="auto"/>
        <w:ind w:left="709" w:hanging="709"/>
        <w:jc w:val="both"/>
        <w:rPr>
          <w:rFonts w:ascii="Times New Roman" w:hAnsi="Times New Roman" w:cs="Times New Roman"/>
          <w:shd w:val="clear" w:color="auto" w:fill="FFFFFF"/>
          <w:lang w:val="en-CA"/>
        </w:rPr>
      </w:pPr>
      <w:r w:rsidRPr="00431F3C">
        <w:rPr>
          <w:rFonts w:ascii="Times New Roman" w:hAnsi="Times New Roman" w:cs="Times New Roman"/>
          <w:shd w:val="clear" w:color="auto" w:fill="FFFFFF"/>
          <w:lang w:val="en-CA"/>
        </w:rPr>
        <w:t>Jang</w:t>
      </w:r>
      <w:r>
        <w:rPr>
          <w:rFonts w:ascii="Times New Roman" w:hAnsi="Times New Roman" w:cs="Times New Roman"/>
          <w:shd w:val="clear" w:color="auto" w:fill="FFFFFF"/>
          <w:lang w:val="en-CA"/>
        </w:rPr>
        <w:t>, I. (2019)</w:t>
      </w:r>
      <w:r w:rsidRPr="00431F3C">
        <w:rPr>
          <w:rFonts w:ascii="Times New Roman" w:hAnsi="Times New Roman" w:cs="Times New Roman"/>
          <w:shd w:val="clear" w:color="auto" w:fill="FFFFFF"/>
          <w:lang w:val="en-CA"/>
        </w:rPr>
        <w:t xml:space="preserve"> </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The Distributive Impact of Private Pensions in the Context of the Institutional Designs of Public Pensions Systems across OECD Countries</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 xml:space="preserve">, </w:t>
      </w:r>
      <w:r w:rsidRPr="00431F3C">
        <w:rPr>
          <w:rFonts w:ascii="Times New Roman" w:hAnsi="Times New Roman" w:cs="Times New Roman"/>
          <w:i/>
          <w:shd w:val="clear" w:color="auto" w:fill="FFFFFF"/>
          <w:lang w:val="en-CA"/>
        </w:rPr>
        <w:t>International Journal of Social Welfare</w:t>
      </w:r>
      <w:r w:rsidRPr="00431F3C">
        <w:rPr>
          <w:rFonts w:ascii="Times New Roman" w:hAnsi="Times New Roman" w:cs="Times New Roman"/>
          <w:shd w:val="clear" w:color="auto" w:fill="FFFFFF"/>
          <w:lang w:val="en-CA"/>
        </w:rPr>
        <w:t xml:space="preserve"> 28</w:t>
      </w:r>
      <w:r>
        <w:rPr>
          <w:rFonts w:ascii="Times New Roman" w:hAnsi="Times New Roman" w:cs="Times New Roman"/>
          <w:shd w:val="clear" w:color="auto" w:fill="FFFFFF"/>
          <w:lang w:val="en-CA"/>
        </w:rPr>
        <w:t>(2): 152-</w:t>
      </w:r>
      <w:r w:rsidRPr="00431F3C">
        <w:rPr>
          <w:rFonts w:ascii="Times New Roman" w:hAnsi="Times New Roman" w:cs="Times New Roman"/>
          <w:shd w:val="clear" w:color="auto" w:fill="FFFFFF"/>
          <w:lang w:val="en-CA"/>
        </w:rPr>
        <w:t>66.</w:t>
      </w:r>
    </w:p>
    <w:p w14:paraId="4E4A4EB2" w14:textId="77777777" w:rsidR="00BE2BAD" w:rsidRPr="00431F3C" w:rsidRDefault="00BE2BAD" w:rsidP="00BE2BAD">
      <w:pPr>
        <w:spacing w:line="480" w:lineRule="auto"/>
        <w:ind w:left="709" w:hanging="709"/>
        <w:jc w:val="both"/>
        <w:rPr>
          <w:rFonts w:ascii="Times New Roman" w:hAnsi="Times New Roman" w:cs="Times New Roman"/>
          <w:shd w:val="clear" w:color="auto" w:fill="FFFFFF"/>
          <w:lang w:val="en-CA"/>
        </w:rPr>
      </w:pPr>
      <w:r w:rsidRPr="00431F3C">
        <w:rPr>
          <w:rFonts w:ascii="Times New Roman" w:hAnsi="Times New Roman" w:cs="Times New Roman"/>
          <w:shd w:val="clear" w:color="auto" w:fill="FFFFFF"/>
          <w:lang w:val="en-CA"/>
        </w:rPr>
        <w:t xml:space="preserve">Joumard, I., Pisu, M. and Bloch, D. (2012) </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Tackling Income Inequality: The Role of Taxes and Transfers</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 xml:space="preserve">, </w:t>
      </w:r>
      <w:r w:rsidRPr="00431F3C">
        <w:rPr>
          <w:rFonts w:ascii="Times New Roman" w:hAnsi="Times New Roman" w:cs="Times New Roman"/>
          <w:i/>
          <w:shd w:val="clear" w:color="auto" w:fill="FFFFFF"/>
          <w:lang w:val="en-CA"/>
        </w:rPr>
        <w:t>OECD Journal: Economic Studies</w:t>
      </w:r>
      <w:r w:rsidRPr="00431F3C">
        <w:rPr>
          <w:rFonts w:ascii="Times New Roman" w:hAnsi="Times New Roman" w:cs="Times New Roman"/>
          <w:shd w:val="clear" w:color="auto" w:fill="FFFFFF"/>
          <w:lang w:val="en-CA"/>
        </w:rPr>
        <w:t>, 2012</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1</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 1-70.</w:t>
      </w:r>
    </w:p>
    <w:p w14:paraId="13B9DA8F" w14:textId="77777777" w:rsidR="00BE2BAD" w:rsidRPr="00431F3C" w:rsidRDefault="00BE2BAD" w:rsidP="00BE2BAD">
      <w:pPr>
        <w:spacing w:line="480" w:lineRule="auto"/>
        <w:ind w:left="709" w:hanging="709"/>
        <w:jc w:val="both"/>
        <w:rPr>
          <w:rFonts w:ascii="Times New Roman" w:hAnsi="Times New Roman" w:cs="Times New Roman"/>
          <w:lang w:val="en-CA"/>
        </w:rPr>
      </w:pPr>
      <w:r w:rsidRPr="00431F3C">
        <w:rPr>
          <w:rFonts w:ascii="Times New Roman" w:hAnsi="Times New Roman" w:cs="Times New Roman"/>
          <w:lang w:val="en-CA"/>
        </w:rPr>
        <w:t xml:space="preserve">Kenworthy, L. (2011) </w:t>
      </w:r>
      <w:r w:rsidRPr="00431F3C">
        <w:rPr>
          <w:rFonts w:ascii="Times New Roman" w:hAnsi="Times New Roman" w:cs="Times New Roman"/>
          <w:i/>
          <w:iCs/>
          <w:lang w:val="en-CA"/>
        </w:rPr>
        <w:t>Progress for the Poor</w:t>
      </w:r>
      <w:r>
        <w:rPr>
          <w:rFonts w:ascii="Times New Roman" w:hAnsi="Times New Roman" w:cs="Times New Roman"/>
          <w:lang w:val="en-CA"/>
        </w:rPr>
        <w:t>.</w:t>
      </w:r>
      <w:r w:rsidRPr="00431F3C">
        <w:rPr>
          <w:rFonts w:ascii="Times New Roman" w:hAnsi="Times New Roman" w:cs="Times New Roman"/>
          <w:lang w:val="en-CA"/>
        </w:rPr>
        <w:t xml:space="preserve"> Oxford: Oxford University Press.</w:t>
      </w:r>
    </w:p>
    <w:p w14:paraId="5C0255E5" w14:textId="77777777" w:rsidR="00BE2BAD" w:rsidRPr="00431F3C" w:rsidRDefault="00BE2BAD" w:rsidP="00BE2BAD">
      <w:pPr>
        <w:spacing w:line="480" w:lineRule="auto"/>
        <w:ind w:left="709" w:hanging="709"/>
        <w:jc w:val="both"/>
        <w:rPr>
          <w:rFonts w:ascii="Times New Roman" w:hAnsi="Times New Roman" w:cs="Times New Roman"/>
          <w:shd w:val="clear" w:color="auto" w:fill="FFFFFF"/>
          <w:lang w:val="en-CA"/>
        </w:rPr>
      </w:pPr>
      <w:r w:rsidRPr="00431F3C">
        <w:rPr>
          <w:rFonts w:ascii="Times New Roman" w:hAnsi="Times New Roman" w:cs="Times New Roman"/>
          <w:shd w:val="clear" w:color="auto" w:fill="FFFFFF"/>
          <w:lang w:val="en-CA"/>
        </w:rPr>
        <w:t xml:space="preserve">Korpi, W. and Palme, J. (1998) </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The Paradox of Redistribution and Strategies of Equality: Welfare State Institutions, Inequality, and Poverty in the Western Countries</w:t>
      </w:r>
      <w:r>
        <w:rPr>
          <w:rFonts w:ascii="Times New Roman" w:hAnsi="Times New Roman" w:cs="Times New Roman"/>
          <w:shd w:val="clear" w:color="auto" w:fill="FFFFFF"/>
          <w:lang w:val="en-CA"/>
        </w:rPr>
        <w:t>’</w:t>
      </w:r>
      <w:r w:rsidRPr="00431F3C">
        <w:rPr>
          <w:rStyle w:val="apple-converted-space"/>
          <w:rFonts w:ascii="Times New Roman" w:hAnsi="Times New Roman" w:cs="Times New Roman"/>
          <w:shd w:val="clear" w:color="auto" w:fill="FFFFFF"/>
          <w:lang w:val="en-CA"/>
        </w:rPr>
        <w:t xml:space="preserve">, </w:t>
      </w:r>
      <w:r w:rsidRPr="00431F3C">
        <w:rPr>
          <w:rFonts w:ascii="Times New Roman" w:hAnsi="Times New Roman" w:cs="Times New Roman"/>
          <w:i/>
          <w:iCs/>
          <w:shd w:val="clear" w:color="auto" w:fill="FFFFFF"/>
          <w:lang w:val="en-CA"/>
        </w:rPr>
        <w:t>American Sociological Review</w:t>
      </w:r>
      <w:r>
        <w:rPr>
          <w:rFonts w:ascii="Times New Roman" w:hAnsi="Times New Roman" w:cs="Times New Roman"/>
          <w:iCs/>
          <w:shd w:val="clear" w:color="auto" w:fill="FFFFFF"/>
          <w:lang w:val="en-CA"/>
        </w:rPr>
        <w:t xml:space="preserve"> </w:t>
      </w:r>
      <w:r w:rsidRPr="00431F3C">
        <w:rPr>
          <w:rFonts w:ascii="Times New Roman" w:hAnsi="Times New Roman" w:cs="Times New Roman"/>
          <w:shd w:val="clear" w:color="auto" w:fill="FFFFFF"/>
          <w:lang w:val="en-CA"/>
        </w:rPr>
        <w:t>63</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5</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 661-87.</w:t>
      </w:r>
    </w:p>
    <w:p w14:paraId="60A62A00" w14:textId="77777777" w:rsidR="00BE2BAD" w:rsidRPr="00431F3C" w:rsidRDefault="00BE2BAD" w:rsidP="00BE2BAD">
      <w:pPr>
        <w:spacing w:line="480" w:lineRule="auto"/>
        <w:ind w:left="709" w:hanging="709"/>
        <w:jc w:val="both"/>
        <w:rPr>
          <w:rFonts w:ascii="Times New Roman" w:hAnsi="Times New Roman" w:cs="Times New Roman"/>
          <w:shd w:val="clear" w:color="auto" w:fill="FFFFFF"/>
          <w:lang w:val="en-CA"/>
        </w:rPr>
      </w:pPr>
      <w:r w:rsidRPr="00431F3C">
        <w:rPr>
          <w:rFonts w:ascii="Times New Roman" w:hAnsi="Times New Roman" w:cs="Times New Roman"/>
          <w:shd w:val="clear" w:color="auto" w:fill="FFFFFF"/>
          <w:lang w:val="en-CA"/>
        </w:rPr>
        <w:t>Lynch, J. (2006)</w:t>
      </w:r>
      <w:r>
        <w:rPr>
          <w:rFonts w:ascii="Times New Roman" w:hAnsi="Times New Roman" w:cs="Times New Roman"/>
          <w:shd w:val="clear" w:color="auto" w:fill="FFFFFF"/>
          <w:lang w:val="en-CA"/>
        </w:rPr>
        <w:t xml:space="preserve"> </w:t>
      </w:r>
      <w:r w:rsidRPr="00431F3C">
        <w:rPr>
          <w:rFonts w:ascii="Times New Roman" w:hAnsi="Times New Roman" w:cs="Times New Roman"/>
          <w:i/>
          <w:shd w:val="clear" w:color="auto" w:fill="FFFFFF"/>
          <w:lang w:val="en-CA"/>
        </w:rPr>
        <w:t>Age in the Welfare State: The Origins of Social Spending on Pensioners, Workers, and Children</w:t>
      </w:r>
      <w:r>
        <w:rPr>
          <w:rFonts w:ascii="Times New Roman" w:hAnsi="Times New Roman" w:cs="Times New Roman"/>
          <w:shd w:val="clear" w:color="auto" w:fill="FFFFFF"/>
          <w:lang w:val="en-CA"/>
        </w:rPr>
        <w:t xml:space="preserve">. </w:t>
      </w:r>
      <w:r w:rsidRPr="00431F3C">
        <w:rPr>
          <w:rFonts w:ascii="Times New Roman" w:hAnsi="Times New Roman" w:cs="Times New Roman"/>
          <w:shd w:val="clear" w:color="auto" w:fill="FFFFFF"/>
          <w:lang w:val="en-CA"/>
        </w:rPr>
        <w:t>Cambridge: Cambridge University Press.</w:t>
      </w:r>
    </w:p>
    <w:p w14:paraId="61A62CD9" w14:textId="77777777" w:rsidR="00BE2BAD" w:rsidRPr="00431F3C" w:rsidRDefault="00BE2BAD" w:rsidP="00BE2BAD">
      <w:pPr>
        <w:spacing w:line="480" w:lineRule="auto"/>
        <w:ind w:left="709" w:hanging="709"/>
        <w:jc w:val="both"/>
        <w:rPr>
          <w:rFonts w:ascii="Times New Roman" w:hAnsi="Times New Roman" w:cs="Times New Roman"/>
          <w:shd w:val="clear" w:color="auto" w:fill="FFFFFF"/>
          <w:lang w:val="en-CA"/>
        </w:rPr>
      </w:pPr>
      <w:r w:rsidRPr="00431F3C">
        <w:rPr>
          <w:rFonts w:ascii="Times New Roman" w:hAnsi="Times New Roman" w:cs="Times New Roman"/>
          <w:shd w:val="clear" w:color="auto" w:fill="FFFFFF"/>
          <w:lang w:val="en-CA"/>
        </w:rPr>
        <w:t>Marchal, S. and W. Van</w:t>
      </w:r>
      <w:r>
        <w:rPr>
          <w:rFonts w:ascii="Times New Roman" w:hAnsi="Times New Roman" w:cs="Times New Roman"/>
          <w:shd w:val="clear" w:color="auto" w:fill="FFFFFF"/>
          <w:lang w:val="en-CA"/>
        </w:rPr>
        <w:t xml:space="preserve"> Lancker (2018)</w:t>
      </w:r>
      <w:r w:rsidRPr="00431F3C">
        <w:rPr>
          <w:rFonts w:ascii="Times New Roman" w:hAnsi="Times New Roman" w:cs="Times New Roman"/>
          <w:shd w:val="clear" w:color="auto" w:fill="FFFFFF"/>
          <w:lang w:val="en-CA"/>
        </w:rPr>
        <w:t xml:space="preserve"> </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The Measurement of Targeting Design in Complex Welfares States: A Proposal and Empirical Applications</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 xml:space="preserve">, </w:t>
      </w:r>
      <w:r w:rsidRPr="00431F3C">
        <w:rPr>
          <w:rFonts w:ascii="Times New Roman" w:hAnsi="Times New Roman" w:cs="Times New Roman"/>
          <w:i/>
          <w:shd w:val="clear" w:color="auto" w:fill="FFFFFF"/>
          <w:lang w:val="en-CA"/>
        </w:rPr>
        <w:t>Social Indicators Research</w:t>
      </w:r>
      <w:r>
        <w:rPr>
          <w:rFonts w:ascii="Times New Roman" w:hAnsi="Times New Roman" w:cs="Times New Roman"/>
          <w:shd w:val="clear" w:color="auto" w:fill="FFFFFF"/>
          <w:lang w:val="en-CA"/>
        </w:rPr>
        <w:t xml:space="preserve"> Published online, 6 S</w:t>
      </w:r>
      <w:r w:rsidRPr="00431F3C">
        <w:rPr>
          <w:rFonts w:ascii="Times New Roman" w:hAnsi="Times New Roman" w:cs="Times New Roman"/>
          <w:shd w:val="clear" w:color="auto" w:fill="FFFFFF"/>
          <w:lang w:val="en-CA"/>
        </w:rPr>
        <w:t>eptember.</w:t>
      </w:r>
    </w:p>
    <w:p w14:paraId="3F135B6C" w14:textId="77777777" w:rsidR="00BE2BAD" w:rsidRPr="00431F3C" w:rsidRDefault="00BE2BAD" w:rsidP="00BE2BAD">
      <w:pPr>
        <w:spacing w:line="480" w:lineRule="auto"/>
        <w:ind w:left="709" w:hanging="709"/>
        <w:jc w:val="both"/>
        <w:rPr>
          <w:rFonts w:ascii="Times New Roman" w:hAnsi="Times New Roman" w:cs="Times New Roman"/>
          <w:shd w:val="clear" w:color="auto" w:fill="FFFFFF"/>
          <w:lang w:val="en-CA"/>
        </w:rPr>
      </w:pPr>
      <w:r w:rsidRPr="00431F3C">
        <w:rPr>
          <w:rFonts w:ascii="Times New Roman" w:hAnsi="Times New Roman" w:cs="Times New Roman"/>
          <w:shd w:val="clear" w:color="auto" w:fill="FFFFFF"/>
          <w:lang w:val="en-CA"/>
        </w:rPr>
        <w:t>Martínez Franzoni, J</w:t>
      </w:r>
      <w:r>
        <w:rPr>
          <w:rFonts w:ascii="Times New Roman" w:hAnsi="Times New Roman" w:cs="Times New Roman"/>
          <w:shd w:val="clear" w:color="auto" w:fill="FFFFFF"/>
          <w:lang w:val="en-CA"/>
        </w:rPr>
        <w:t xml:space="preserve">. and </w:t>
      </w:r>
      <w:r w:rsidRPr="00431F3C">
        <w:rPr>
          <w:rFonts w:ascii="Times New Roman" w:hAnsi="Times New Roman" w:cs="Times New Roman"/>
          <w:shd w:val="clear" w:color="auto" w:fill="FFFFFF"/>
          <w:lang w:val="en-CA"/>
        </w:rPr>
        <w:t>Sánchez-Ancochea</w:t>
      </w:r>
      <w:r>
        <w:rPr>
          <w:rFonts w:ascii="Times New Roman" w:hAnsi="Times New Roman" w:cs="Times New Roman"/>
          <w:shd w:val="clear" w:color="auto" w:fill="FFFFFF"/>
          <w:lang w:val="en-CA"/>
        </w:rPr>
        <w:t>, D.</w:t>
      </w:r>
      <w:r w:rsidRPr="00431F3C">
        <w:rPr>
          <w:rFonts w:ascii="Times New Roman" w:hAnsi="Times New Roman" w:cs="Times New Roman"/>
          <w:shd w:val="clear" w:color="auto" w:fill="FFFFFF"/>
          <w:lang w:val="en-CA"/>
        </w:rPr>
        <w:t xml:space="preserve"> (</w:t>
      </w:r>
      <w:r>
        <w:rPr>
          <w:rFonts w:ascii="Times New Roman" w:hAnsi="Times New Roman" w:cs="Times New Roman"/>
          <w:shd w:val="clear" w:color="auto" w:fill="FFFFFF"/>
          <w:lang w:val="en-CA"/>
        </w:rPr>
        <w:t>2016)</w:t>
      </w:r>
      <w:r w:rsidRPr="00431F3C">
        <w:rPr>
          <w:rFonts w:ascii="Times New Roman" w:hAnsi="Times New Roman" w:cs="Times New Roman"/>
          <w:shd w:val="clear" w:color="auto" w:fill="FFFFFF"/>
          <w:lang w:val="en-CA"/>
        </w:rPr>
        <w:t xml:space="preserve"> </w:t>
      </w:r>
      <w:r w:rsidRPr="00431F3C">
        <w:rPr>
          <w:rFonts w:ascii="Times New Roman" w:hAnsi="Times New Roman" w:cs="Times New Roman"/>
          <w:i/>
          <w:shd w:val="clear" w:color="auto" w:fill="FFFFFF"/>
          <w:lang w:val="en-CA"/>
        </w:rPr>
        <w:t>The Quest for Universal Social Policy in the South: Actors, Ideas, and Architectures</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 xml:space="preserve"> Cambridge: Cambridge University Press.</w:t>
      </w:r>
    </w:p>
    <w:p w14:paraId="64A708DC" w14:textId="77777777" w:rsidR="00BE2BAD" w:rsidRPr="00431F3C" w:rsidRDefault="00BE2BAD" w:rsidP="00BE2BAD">
      <w:pPr>
        <w:spacing w:line="480" w:lineRule="auto"/>
        <w:ind w:left="709" w:hanging="709"/>
        <w:jc w:val="both"/>
        <w:rPr>
          <w:rFonts w:ascii="Times New Roman" w:hAnsi="Times New Roman" w:cs="Times New Roman"/>
          <w:lang w:val="en-CA"/>
        </w:rPr>
      </w:pPr>
      <w:r w:rsidRPr="00431F3C">
        <w:rPr>
          <w:rFonts w:ascii="Times New Roman" w:hAnsi="Times New Roman" w:cs="Times New Roman"/>
          <w:lang w:val="en-CA"/>
        </w:rPr>
        <w:t xml:space="preserve">Marx, I., Salanauskaite, L. and Verbist, G. (2016) </w:t>
      </w:r>
      <w:r>
        <w:rPr>
          <w:rFonts w:ascii="Times New Roman" w:hAnsi="Times New Roman" w:cs="Times New Roman"/>
          <w:lang w:val="en-CA"/>
        </w:rPr>
        <w:t>‘</w:t>
      </w:r>
      <w:r w:rsidRPr="00431F3C">
        <w:rPr>
          <w:rFonts w:ascii="Times New Roman" w:hAnsi="Times New Roman" w:cs="Times New Roman"/>
          <w:lang w:val="en-CA"/>
        </w:rPr>
        <w:t>For the Poor, but Not Only the Poor: On Optimal Pro-Poorness in Redistributive Policies</w:t>
      </w:r>
      <w:r>
        <w:rPr>
          <w:rFonts w:ascii="Times New Roman" w:hAnsi="Times New Roman" w:cs="Times New Roman"/>
          <w:lang w:val="en-CA"/>
        </w:rPr>
        <w:t>’</w:t>
      </w:r>
      <w:r w:rsidRPr="00431F3C">
        <w:rPr>
          <w:rFonts w:ascii="Times New Roman" w:hAnsi="Times New Roman" w:cs="Times New Roman"/>
          <w:lang w:val="en-CA"/>
        </w:rPr>
        <w:t xml:space="preserve">, </w:t>
      </w:r>
      <w:r w:rsidRPr="00431F3C">
        <w:rPr>
          <w:rFonts w:ascii="Times New Roman" w:hAnsi="Times New Roman" w:cs="Times New Roman"/>
          <w:i/>
          <w:lang w:val="en-CA"/>
        </w:rPr>
        <w:t>Social Forces</w:t>
      </w:r>
      <w:r w:rsidRPr="00431F3C">
        <w:rPr>
          <w:rFonts w:ascii="Times New Roman" w:hAnsi="Times New Roman" w:cs="Times New Roman"/>
          <w:lang w:val="en-CA"/>
        </w:rPr>
        <w:t xml:space="preserve"> 95</w:t>
      </w:r>
      <w:r>
        <w:rPr>
          <w:rFonts w:ascii="Times New Roman" w:hAnsi="Times New Roman" w:cs="Times New Roman"/>
          <w:lang w:val="en-CA"/>
        </w:rPr>
        <w:t>(</w:t>
      </w:r>
      <w:r w:rsidRPr="00431F3C">
        <w:rPr>
          <w:rFonts w:ascii="Times New Roman" w:hAnsi="Times New Roman" w:cs="Times New Roman"/>
          <w:lang w:val="en-CA"/>
        </w:rPr>
        <w:t>1</w:t>
      </w:r>
      <w:r>
        <w:rPr>
          <w:rFonts w:ascii="Times New Roman" w:hAnsi="Times New Roman" w:cs="Times New Roman"/>
          <w:lang w:val="en-CA"/>
        </w:rPr>
        <w:t>)</w:t>
      </w:r>
      <w:r w:rsidRPr="00431F3C">
        <w:rPr>
          <w:rFonts w:ascii="Times New Roman" w:hAnsi="Times New Roman" w:cs="Times New Roman"/>
          <w:lang w:val="en-CA"/>
        </w:rPr>
        <w:t>: 1-24.</w:t>
      </w:r>
    </w:p>
    <w:p w14:paraId="770BDCD3" w14:textId="77777777" w:rsidR="00BE2BAD" w:rsidRPr="00431F3C" w:rsidRDefault="00BE2BAD" w:rsidP="00BE2BAD">
      <w:pPr>
        <w:spacing w:line="480" w:lineRule="auto"/>
        <w:ind w:left="709" w:hanging="709"/>
        <w:jc w:val="both"/>
        <w:rPr>
          <w:rFonts w:ascii="Times New Roman" w:hAnsi="Times New Roman" w:cs="Times New Roman"/>
          <w:lang w:val="en-CA"/>
        </w:rPr>
      </w:pPr>
      <w:r w:rsidRPr="00431F3C">
        <w:rPr>
          <w:rFonts w:ascii="Times New Roman" w:hAnsi="Times New Roman" w:cs="Times New Roman"/>
          <w:lang w:val="en-CA"/>
        </w:rPr>
        <w:t xml:space="preserve">OECD (2007) </w:t>
      </w:r>
      <w:r w:rsidRPr="00431F3C">
        <w:rPr>
          <w:rFonts w:ascii="Times New Roman" w:hAnsi="Times New Roman" w:cs="Times New Roman"/>
          <w:i/>
          <w:lang w:val="en-CA"/>
        </w:rPr>
        <w:t>Pensions at a Glance</w:t>
      </w:r>
      <w:r>
        <w:rPr>
          <w:rFonts w:ascii="Times New Roman" w:hAnsi="Times New Roman" w:cs="Times New Roman"/>
          <w:lang w:val="en-CA"/>
        </w:rPr>
        <w:t>.</w:t>
      </w:r>
      <w:r w:rsidRPr="00431F3C">
        <w:rPr>
          <w:rFonts w:ascii="Times New Roman" w:hAnsi="Times New Roman" w:cs="Times New Roman"/>
          <w:lang w:val="en-CA"/>
        </w:rPr>
        <w:t xml:space="preserve"> Paris: OECD.</w:t>
      </w:r>
    </w:p>
    <w:p w14:paraId="1D2382FD" w14:textId="77777777" w:rsidR="00BE2BAD" w:rsidRPr="00431F3C" w:rsidRDefault="00BE2BAD" w:rsidP="00BE2BAD">
      <w:pPr>
        <w:spacing w:line="480" w:lineRule="auto"/>
        <w:ind w:left="709" w:hanging="709"/>
        <w:jc w:val="both"/>
        <w:rPr>
          <w:rFonts w:ascii="Times New Roman" w:hAnsi="Times New Roman" w:cs="Times New Roman"/>
          <w:lang w:val="en-CA"/>
        </w:rPr>
      </w:pPr>
      <w:r w:rsidRPr="00431F3C">
        <w:rPr>
          <w:rFonts w:ascii="Times New Roman" w:hAnsi="Times New Roman" w:cs="Times New Roman"/>
          <w:lang w:val="en-CA"/>
        </w:rPr>
        <w:lastRenderedPageBreak/>
        <w:t xml:space="preserve">OECD (2008) </w:t>
      </w:r>
      <w:r w:rsidRPr="00431F3C">
        <w:rPr>
          <w:rFonts w:ascii="Times New Roman" w:hAnsi="Times New Roman" w:cs="Times New Roman"/>
          <w:i/>
          <w:lang w:val="en-CA"/>
        </w:rPr>
        <w:t>Growing Unequal: Income Distribution and Poverty in OECD Countries</w:t>
      </w:r>
      <w:r>
        <w:rPr>
          <w:rFonts w:ascii="Times New Roman" w:hAnsi="Times New Roman" w:cs="Times New Roman"/>
          <w:lang w:val="en-CA"/>
        </w:rPr>
        <w:t xml:space="preserve">. </w:t>
      </w:r>
      <w:r w:rsidRPr="00431F3C">
        <w:rPr>
          <w:rFonts w:ascii="Times New Roman" w:hAnsi="Times New Roman" w:cs="Times New Roman"/>
          <w:lang w:val="en-CA"/>
        </w:rPr>
        <w:t>Paris: OECD.</w:t>
      </w:r>
    </w:p>
    <w:p w14:paraId="7664F2F5" w14:textId="77777777" w:rsidR="00BE2BAD" w:rsidRPr="00431F3C" w:rsidRDefault="00BE2BAD" w:rsidP="00BE2BAD">
      <w:pPr>
        <w:spacing w:line="480" w:lineRule="auto"/>
        <w:ind w:left="709" w:hanging="709"/>
        <w:jc w:val="both"/>
        <w:rPr>
          <w:rFonts w:ascii="Times New Roman" w:hAnsi="Times New Roman" w:cs="Times New Roman"/>
          <w:shd w:val="clear" w:color="auto" w:fill="FFFFFF"/>
          <w:lang w:val="en-CA"/>
        </w:rPr>
      </w:pPr>
      <w:r w:rsidRPr="00431F3C">
        <w:rPr>
          <w:rFonts w:ascii="Times New Roman" w:hAnsi="Times New Roman" w:cs="Times New Roman"/>
          <w:shd w:val="clear" w:color="auto" w:fill="FFFFFF"/>
          <w:lang w:val="en-CA"/>
        </w:rPr>
        <w:t xml:space="preserve">OECD (2010) </w:t>
      </w:r>
      <w:r w:rsidRPr="00431F3C">
        <w:rPr>
          <w:rFonts w:ascii="Times New Roman" w:hAnsi="Times New Roman" w:cs="Times New Roman"/>
          <w:i/>
          <w:shd w:val="clear" w:color="auto" w:fill="FFFFFF"/>
          <w:lang w:val="en-CA"/>
        </w:rPr>
        <w:t>Sickness, Disability and Work: Breaking the Barriers. Canada: Opportunities for Collaboration</w:t>
      </w:r>
      <w:r>
        <w:rPr>
          <w:rFonts w:ascii="Times New Roman" w:hAnsi="Times New Roman" w:cs="Times New Roman"/>
          <w:shd w:val="clear" w:color="auto" w:fill="FFFFFF"/>
          <w:lang w:val="en-CA"/>
        </w:rPr>
        <w:t xml:space="preserve">. </w:t>
      </w:r>
      <w:r w:rsidRPr="00431F3C">
        <w:rPr>
          <w:rFonts w:ascii="Times New Roman" w:hAnsi="Times New Roman" w:cs="Times New Roman"/>
          <w:shd w:val="clear" w:color="auto" w:fill="FFFFFF"/>
          <w:lang w:val="en-CA"/>
        </w:rPr>
        <w:t>Paris: OECD.</w:t>
      </w:r>
    </w:p>
    <w:p w14:paraId="19C9930C" w14:textId="77777777" w:rsidR="00BE2BAD" w:rsidRPr="00431F3C" w:rsidRDefault="00BE2BAD" w:rsidP="00BE2BAD">
      <w:pPr>
        <w:spacing w:line="480" w:lineRule="auto"/>
        <w:ind w:left="709" w:hanging="709"/>
        <w:jc w:val="both"/>
        <w:rPr>
          <w:rFonts w:ascii="Times New Roman" w:hAnsi="Times New Roman" w:cs="Times New Roman"/>
          <w:lang w:val="en-CA"/>
        </w:rPr>
      </w:pPr>
      <w:r w:rsidRPr="00431F3C">
        <w:rPr>
          <w:rFonts w:ascii="Times New Roman" w:hAnsi="Times New Roman" w:cs="Times New Roman"/>
          <w:lang w:val="en-CA"/>
        </w:rPr>
        <w:t xml:space="preserve">OECD (2015) </w:t>
      </w:r>
      <w:r w:rsidRPr="00431F3C">
        <w:rPr>
          <w:rFonts w:ascii="Times New Roman" w:hAnsi="Times New Roman" w:cs="Times New Roman"/>
          <w:i/>
          <w:lang w:val="en-CA"/>
        </w:rPr>
        <w:t>In It Together: Why Less Inequality Benefits All</w:t>
      </w:r>
      <w:r>
        <w:rPr>
          <w:rFonts w:ascii="Times New Roman" w:hAnsi="Times New Roman" w:cs="Times New Roman"/>
          <w:lang w:val="en-CA"/>
        </w:rPr>
        <w:t>.</w:t>
      </w:r>
      <w:r w:rsidRPr="00431F3C">
        <w:rPr>
          <w:rFonts w:ascii="Times New Roman" w:hAnsi="Times New Roman" w:cs="Times New Roman"/>
          <w:lang w:val="en-CA"/>
        </w:rPr>
        <w:t xml:space="preserve"> Paris: OECD.</w:t>
      </w:r>
    </w:p>
    <w:p w14:paraId="651AF884" w14:textId="77777777" w:rsidR="00BE2BAD" w:rsidRPr="00431F3C" w:rsidRDefault="00BE2BAD" w:rsidP="00BE2BAD">
      <w:pPr>
        <w:spacing w:line="480" w:lineRule="auto"/>
        <w:ind w:left="709" w:hanging="709"/>
        <w:jc w:val="both"/>
        <w:rPr>
          <w:rFonts w:ascii="Times New Roman" w:hAnsi="Times New Roman" w:cs="Times New Roman"/>
          <w:lang w:val="en-CA"/>
        </w:rPr>
      </w:pPr>
      <w:r w:rsidRPr="00431F3C">
        <w:rPr>
          <w:rFonts w:ascii="Times New Roman" w:hAnsi="Times New Roman" w:cs="Times New Roman"/>
          <w:lang w:val="en-CA"/>
        </w:rPr>
        <w:t xml:space="preserve">OECD (2018a) </w:t>
      </w:r>
      <w:r w:rsidRPr="00431F3C">
        <w:rPr>
          <w:rFonts w:ascii="Times New Roman" w:hAnsi="Times New Roman" w:cs="Times New Roman"/>
          <w:i/>
          <w:lang w:val="en-CA"/>
        </w:rPr>
        <w:t>Income Distribution Database</w:t>
      </w:r>
      <w:r>
        <w:rPr>
          <w:rFonts w:ascii="Times New Roman" w:hAnsi="Times New Roman" w:cs="Times New Roman"/>
          <w:lang w:val="en-CA"/>
        </w:rPr>
        <w:t>.</w:t>
      </w:r>
      <w:r w:rsidRPr="00431F3C">
        <w:rPr>
          <w:rFonts w:ascii="Times New Roman" w:hAnsi="Times New Roman" w:cs="Times New Roman"/>
          <w:lang w:val="en-CA"/>
        </w:rPr>
        <w:t xml:space="preserve"> Paris: OECD.</w:t>
      </w:r>
    </w:p>
    <w:p w14:paraId="56BCD2E4" w14:textId="77777777" w:rsidR="00BE2BAD" w:rsidRPr="00431F3C" w:rsidRDefault="00BE2BAD" w:rsidP="00BE2BAD">
      <w:pPr>
        <w:spacing w:line="480" w:lineRule="auto"/>
        <w:ind w:left="709" w:hanging="709"/>
        <w:jc w:val="both"/>
        <w:rPr>
          <w:rFonts w:ascii="Times New Roman" w:hAnsi="Times New Roman" w:cs="Times New Roman"/>
          <w:lang w:val="en-CA"/>
        </w:rPr>
      </w:pPr>
      <w:r w:rsidRPr="00431F3C">
        <w:rPr>
          <w:rFonts w:ascii="Times New Roman" w:hAnsi="Times New Roman" w:cs="Times New Roman"/>
          <w:lang w:val="en-CA"/>
        </w:rPr>
        <w:t xml:space="preserve">OECD (2018b) </w:t>
      </w:r>
      <w:r w:rsidRPr="00431F3C">
        <w:rPr>
          <w:rFonts w:ascii="Times New Roman" w:hAnsi="Times New Roman" w:cs="Times New Roman"/>
          <w:i/>
          <w:lang w:val="en-CA"/>
        </w:rPr>
        <w:t>Social Expenditures Database</w:t>
      </w:r>
      <w:r>
        <w:rPr>
          <w:rFonts w:ascii="Times New Roman" w:hAnsi="Times New Roman" w:cs="Times New Roman"/>
          <w:lang w:val="en-CA"/>
        </w:rPr>
        <w:t>.</w:t>
      </w:r>
      <w:r w:rsidRPr="00431F3C">
        <w:rPr>
          <w:rFonts w:ascii="Times New Roman" w:hAnsi="Times New Roman" w:cs="Times New Roman"/>
          <w:lang w:val="en-CA"/>
        </w:rPr>
        <w:t xml:space="preserve"> Paris: OECD.</w:t>
      </w:r>
    </w:p>
    <w:p w14:paraId="28C6DDA2" w14:textId="77777777" w:rsidR="00BE2BAD" w:rsidRPr="00431F3C" w:rsidRDefault="00BE2BAD" w:rsidP="00BE2BAD">
      <w:pPr>
        <w:spacing w:line="480" w:lineRule="auto"/>
        <w:ind w:left="709" w:hanging="709"/>
        <w:jc w:val="both"/>
        <w:rPr>
          <w:rFonts w:ascii="Times New Roman" w:hAnsi="Times New Roman" w:cs="Times New Roman"/>
          <w:lang w:val="en-CA"/>
        </w:rPr>
      </w:pPr>
      <w:r w:rsidRPr="00431F3C">
        <w:rPr>
          <w:rFonts w:ascii="Times New Roman" w:hAnsi="Times New Roman" w:cs="Times New Roman"/>
          <w:lang w:val="en-CA"/>
        </w:rPr>
        <w:t xml:space="preserve">Prasad, M. and Y. Deng (2009) </w:t>
      </w:r>
      <w:r>
        <w:rPr>
          <w:rFonts w:ascii="Times New Roman" w:hAnsi="Times New Roman" w:cs="Times New Roman"/>
          <w:lang w:val="en-CA"/>
        </w:rPr>
        <w:t>‘</w:t>
      </w:r>
      <w:r w:rsidRPr="00431F3C">
        <w:rPr>
          <w:rFonts w:ascii="Times New Roman" w:hAnsi="Times New Roman" w:cs="Times New Roman"/>
          <w:lang w:val="en-CA"/>
        </w:rPr>
        <w:t>Taxation and the Worlds of Welfare</w:t>
      </w:r>
      <w:r>
        <w:rPr>
          <w:rFonts w:ascii="Times New Roman" w:hAnsi="Times New Roman" w:cs="Times New Roman"/>
          <w:lang w:val="en-CA"/>
        </w:rPr>
        <w:t>’</w:t>
      </w:r>
      <w:r w:rsidRPr="00431F3C">
        <w:rPr>
          <w:rFonts w:ascii="Times New Roman" w:hAnsi="Times New Roman" w:cs="Times New Roman"/>
          <w:lang w:val="en-CA"/>
        </w:rPr>
        <w:t xml:space="preserve">, </w:t>
      </w:r>
      <w:r w:rsidRPr="00431F3C">
        <w:rPr>
          <w:rFonts w:ascii="Times New Roman" w:hAnsi="Times New Roman" w:cs="Times New Roman"/>
          <w:i/>
          <w:lang w:val="en-CA"/>
        </w:rPr>
        <w:t>Socio-Economic Review</w:t>
      </w:r>
      <w:r w:rsidRPr="00431F3C">
        <w:rPr>
          <w:rFonts w:ascii="Times New Roman" w:hAnsi="Times New Roman" w:cs="Times New Roman"/>
          <w:lang w:val="en-CA"/>
        </w:rPr>
        <w:t xml:space="preserve"> 7</w:t>
      </w:r>
      <w:r>
        <w:rPr>
          <w:rFonts w:ascii="Times New Roman" w:hAnsi="Times New Roman" w:cs="Times New Roman"/>
          <w:lang w:val="en-CA"/>
        </w:rPr>
        <w:t>(</w:t>
      </w:r>
      <w:r w:rsidRPr="00431F3C">
        <w:rPr>
          <w:rFonts w:ascii="Times New Roman" w:hAnsi="Times New Roman" w:cs="Times New Roman"/>
          <w:lang w:val="en-CA"/>
        </w:rPr>
        <w:t>3</w:t>
      </w:r>
      <w:r>
        <w:rPr>
          <w:rFonts w:ascii="Times New Roman" w:hAnsi="Times New Roman" w:cs="Times New Roman"/>
          <w:lang w:val="en-CA"/>
        </w:rPr>
        <w:t>)</w:t>
      </w:r>
      <w:r w:rsidRPr="00431F3C">
        <w:rPr>
          <w:rFonts w:ascii="Times New Roman" w:hAnsi="Times New Roman" w:cs="Times New Roman"/>
          <w:lang w:val="en-CA"/>
        </w:rPr>
        <w:t>: 431-57.</w:t>
      </w:r>
    </w:p>
    <w:p w14:paraId="7031687D" w14:textId="77777777" w:rsidR="00BE2BAD" w:rsidRPr="00431F3C" w:rsidRDefault="00BE2BAD" w:rsidP="00BE2BAD">
      <w:pPr>
        <w:spacing w:line="480" w:lineRule="auto"/>
        <w:ind w:left="709" w:hanging="709"/>
        <w:jc w:val="both"/>
        <w:rPr>
          <w:rFonts w:ascii="Times New Roman" w:hAnsi="Times New Roman" w:cs="Times New Roman"/>
          <w:lang w:val="en-CA"/>
        </w:rPr>
      </w:pPr>
      <w:r w:rsidRPr="00431F3C">
        <w:rPr>
          <w:rFonts w:ascii="Times New Roman" w:hAnsi="Times New Roman" w:cs="Times New Roman"/>
          <w:lang w:val="en-CA"/>
        </w:rPr>
        <w:t xml:space="preserve">Rothstein, B. (1998) </w:t>
      </w:r>
      <w:r w:rsidRPr="00431F3C">
        <w:rPr>
          <w:rFonts w:ascii="Times New Roman" w:hAnsi="Times New Roman" w:cs="Times New Roman"/>
          <w:i/>
          <w:lang w:val="en-CA"/>
        </w:rPr>
        <w:t>Just Institutions Matter: The Moral and Political Logic of the Universal Welfare State</w:t>
      </w:r>
      <w:r>
        <w:rPr>
          <w:rFonts w:ascii="Times New Roman" w:hAnsi="Times New Roman" w:cs="Times New Roman"/>
          <w:lang w:val="en-CA"/>
        </w:rPr>
        <w:t>.</w:t>
      </w:r>
      <w:r w:rsidRPr="00431F3C">
        <w:rPr>
          <w:rFonts w:ascii="Times New Roman" w:hAnsi="Times New Roman" w:cs="Times New Roman"/>
          <w:lang w:val="en-CA"/>
        </w:rPr>
        <w:t xml:space="preserve"> Cambridge: Cambridge University Press.</w:t>
      </w:r>
    </w:p>
    <w:p w14:paraId="32827F0B" w14:textId="77777777" w:rsidR="00BE2BAD" w:rsidRPr="00431F3C" w:rsidRDefault="00BE2BAD" w:rsidP="00BE2BAD">
      <w:pPr>
        <w:spacing w:line="480" w:lineRule="auto"/>
        <w:ind w:left="709" w:hanging="709"/>
        <w:jc w:val="both"/>
        <w:rPr>
          <w:rFonts w:ascii="Times New Roman" w:hAnsi="Times New Roman" w:cs="Times New Roman"/>
          <w:lang w:val="en-CA"/>
        </w:rPr>
      </w:pPr>
      <w:r w:rsidRPr="00431F3C">
        <w:rPr>
          <w:rFonts w:ascii="Times New Roman" w:hAnsi="Times New Roman" w:cs="Times New Roman"/>
          <w:lang w:val="en-CA"/>
        </w:rPr>
        <w:t>Scruggs,</w:t>
      </w:r>
      <w:r>
        <w:rPr>
          <w:rFonts w:ascii="Times New Roman" w:hAnsi="Times New Roman" w:cs="Times New Roman"/>
          <w:lang w:val="en-CA"/>
        </w:rPr>
        <w:t xml:space="preserve"> L. and </w:t>
      </w:r>
      <w:r w:rsidRPr="00431F3C">
        <w:rPr>
          <w:rFonts w:ascii="Times New Roman" w:hAnsi="Times New Roman" w:cs="Times New Roman"/>
          <w:lang w:val="en-CA"/>
        </w:rPr>
        <w:t>Allan</w:t>
      </w:r>
      <w:r>
        <w:rPr>
          <w:rFonts w:ascii="Times New Roman" w:hAnsi="Times New Roman" w:cs="Times New Roman"/>
          <w:lang w:val="en-CA"/>
        </w:rPr>
        <w:t>, J.</w:t>
      </w:r>
      <w:r w:rsidRPr="00431F3C">
        <w:rPr>
          <w:rFonts w:ascii="Times New Roman" w:hAnsi="Times New Roman" w:cs="Times New Roman"/>
          <w:lang w:val="en-CA"/>
        </w:rPr>
        <w:t xml:space="preserve"> (2006)</w:t>
      </w:r>
      <w:r>
        <w:rPr>
          <w:rFonts w:ascii="Times New Roman" w:hAnsi="Times New Roman" w:cs="Times New Roman"/>
          <w:lang w:val="en-CA"/>
        </w:rPr>
        <w:t xml:space="preserve"> ‘</w:t>
      </w:r>
      <w:r w:rsidRPr="00431F3C">
        <w:rPr>
          <w:rFonts w:ascii="Times New Roman" w:hAnsi="Times New Roman" w:cs="Times New Roman"/>
          <w:lang w:val="en-CA"/>
        </w:rPr>
        <w:t>Welfare-State Decommodification in 18 OECD Countries: A Replication and Revision</w:t>
      </w:r>
      <w:r>
        <w:rPr>
          <w:rFonts w:ascii="Times New Roman" w:hAnsi="Times New Roman" w:cs="Times New Roman"/>
          <w:lang w:val="en-CA"/>
        </w:rPr>
        <w:t>’</w:t>
      </w:r>
      <w:r w:rsidRPr="00431F3C">
        <w:rPr>
          <w:rFonts w:ascii="Times New Roman" w:hAnsi="Times New Roman" w:cs="Times New Roman"/>
          <w:lang w:val="en-CA"/>
        </w:rPr>
        <w:t xml:space="preserve">, </w:t>
      </w:r>
      <w:r w:rsidRPr="00431F3C">
        <w:rPr>
          <w:rFonts w:ascii="Times New Roman" w:hAnsi="Times New Roman" w:cs="Times New Roman"/>
          <w:i/>
          <w:lang w:val="en-CA"/>
        </w:rPr>
        <w:t>Journal of European Social Policy</w:t>
      </w:r>
      <w:r w:rsidRPr="00431F3C">
        <w:rPr>
          <w:rFonts w:ascii="Times New Roman" w:hAnsi="Times New Roman" w:cs="Times New Roman"/>
          <w:lang w:val="en-CA"/>
        </w:rPr>
        <w:t xml:space="preserve"> </w:t>
      </w:r>
      <w:r>
        <w:rPr>
          <w:rFonts w:ascii="Times New Roman" w:hAnsi="Times New Roman" w:cs="Times New Roman"/>
          <w:lang w:val="en-CA"/>
        </w:rPr>
        <w:t>16(</w:t>
      </w:r>
      <w:r w:rsidRPr="00431F3C">
        <w:rPr>
          <w:rFonts w:ascii="Times New Roman" w:hAnsi="Times New Roman" w:cs="Times New Roman"/>
          <w:lang w:val="en-CA"/>
        </w:rPr>
        <w:t>1</w:t>
      </w:r>
      <w:r>
        <w:rPr>
          <w:rFonts w:ascii="Times New Roman" w:hAnsi="Times New Roman" w:cs="Times New Roman"/>
          <w:lang w:val="en-CA"/>
        </w:rPr>
        <w:t>)</w:t>
      </w:r>
      <w:r w:rsidRPr="00431F3C">
        <w:rPr>
          <w:rFonts w:ascii="Times New Roman" w:hAnsi="Times New Roman" w:cs="Times New Roman"/>
          <w:lang w:val="en-CA"/>
        </w:rPr>
        <w:t>: 55-72.</w:t>
      </w:r>
    </w:p>
    <w:p w14:paraId="535097BF" w14:textId="77777777" w:rsidR="00BE2BAD" w:rsidRPr="00431F3C" w:rsidRDefault="00BE2BAD" w:rsidP="00BE2BAD">
      <w:pPr>
        <w:spacing w:line="480" w:lineRule="auto"/>
        <w:ind w:left="709" w:hanging="709"/>
        <w:jc w:val="both"/>
        <w:rPr>
          <w:rFonts w:ascii="Times New Roman" w:hAnsi="Times New Roman" w:cs="Times New Roman"/>
          <w:lang w:val="en-CA"/>
        </w:rPr>
      </w:pPr>
      <w:r w:rsidRPr="00431F3C">
        <w:rPr>
          <w:rFonts w:ascii="Times New Roman" w:hAnsi="Times New Roman" w:cs="Times New Roman"/>
          <w:lang w:val="en-CA"/>
        </w:rPr>
        <w:t xml:space="preserve">Skocpol, T. (1991) </w:t>
      </w:r>
      <w:r>
        <w:rPr>
          <w:rFonts w:ascii="Times New Roman" w:hAnsi="Times New Roman" w:cs="Times New Roman"/>
          <w:lang w:val="en-CA"/>
        </w:rPr>
        <w:t>‘</w:t>
      </w:r>
      <w:r w:rsidRPr="00431F3C">
        <w:rPr>
          <w:rFonts w:ascii="Times New Roman" w:hAnsi="Times New Roman" w:cs="Times New Roman"/>
          <w:lang w:val="en-CA"/>
        </w:rPr>
        <w:t>Targeting within Universalism: Politically Viable Policies to Combat Poverty in the United States</w:t>
      </w:r>
      <w:r>
        <w:rPr>
          <w:rFonts w:ascii="Times New Roman" w:hAnsi="Times New Roman" w:cs="Times New Roman"/>
          <w:lang w:val="en-CA"/>
        </w:rPr>
        <w:t>’, i</w:t>
      </w:r>
      <w:r w:rsidRPr="00431F3C">
        <w:rPr>
          <w:rFonts w:ascii="Times New Roman" w:hAnsi="Times New Roman" w:cs="Times New Roman"/>
          <w:lang w:val="en-CA"/>
        </w:rPr>
        <w:t xml:space="preserve">n C. Jencks and P. E. Peterson (eds), </w:t>
      </w:r>
      <w:r w:rsidRPr="00431F3C">
        <w:rPr>
          <w:rFonts w:ascii="Times New Roman" w:hAnsi="Times New Roman" w:cs="Times New Roman"/>
          <w:i/>
          <w:lang w:val="en-CA"/>
        </w:rPr>
        <w:t>The Urban Underclass</w:t>
      </w:r>
      <w:r w:rsidRPr="00431F3C">
        <w:rPr>
          <w:rFonts w:ascii="Times New Roman" w:hAnsi="Times New Roman" w:cs="Times New Roman"/>
          <w:lang w:val="en-CA"/>
        </w:rPr>
        <w:t xml:space="preserve">, </w:t>
      </w:r>
      <w:r>
        <w:rPr>
          <w:rFonts w:ascii="Times New Roman" w:hAnsi="Times New Roman" w:cs="Times New Roman"/>
          <w:lang w:val="en-CA"/>
        </w:rPr>
        <w:t xml:space="preserve">pp. 411-36. </w:t>
      </w:r>
      <w:r w:rsidRPr="00431F3C">
        <w:rPr>
          <w:rFonts w:ascii="Times New Roman" w:hAnsi="Times New Roman" w:cs="Times New Roman"/>
          <w:lang w:val="en-CA"/>
        </w:rPr>
        <w:t xml:space="preserve">Washington, </w:t>
      </w:r>
      <w:r>
        <w:rPr>
          <w:rFonts w:ascii="Times New Roman" w:hAnsi="Times New Roman" w:cs="Times New Roman"/>
          <w:lang w:val="en-CA"/>
        </w:rPr>
        <w:t>D.C.: Brookings</w:t>
      </w:r>
      <w:r w:rsidRPr="00431F3C">
        <w:rPr>
          <w:rFonts w:ascii="Times New Roman" w:hAnsi="Times New Roman" w:cs="Times New Roman"/>
          <w:lang w:val="en-CA"/>
        </w:rPr>
        <w:t>.</w:t>
      </w:r>
    </w:p>
    <w:p w14:paraId="55DA508E" w14:textId="77777777" w:rsidR="00BE2BAD" w:rsidRPr="00431F3C" w:rsidRDefault="00BE2BAD" w:rsidP="00BE2BAD">
      <w:pPr>
        <w:spacing w:line="480" w:lineRule="auto"/>
        <w:ind w:left="709" w:hanging="709"/>
        <w:jc w:val="both"/>
        <w:rPr>
          <w:rFonts w:ascii="Times New Roman" w:hAnsi="Times New Roman" w:cs="Times New Roman"/>
          <w:lang w:val="en-CA"/>
        </w:rPr>
      </w:pPr>
      <w:r w:rsidRPr="00431F3C">
        <w:rPr>
          <w:rFonts w:ascii="Times New Roman" w:hAnsi="Times New Roman" w:cs="Times New Roman"/>
          <w:lang w:val="en-CA"/>
        </w:rPr>
        <w:t xml:space="preserve">St. John, S. and </w:t>
      </w:r>
      <w:r>
        <w:rPr>
          <w:rFonts w:ascii="Times New Roman" w:hAnsi="Times New Roman" w:cs="Times New Roman"/>
          <w:lang w:val="en-CA"/>
        </w:rPr>
        <w:t>Willmore, L. (2001)</w:t>
      </w:r>
      <w:r w:rsidRPr="00431F3C">
        <w:rPr>
          <w:rFonts w:ascii="Times New Roman" w:hAnsi="Times New Roman" w:cs="Times New Roman"/>
          <w:lang w:val="en-CA"/>
        </w:rPr>
        <w:t xml:space="preserve"> </w:t>
      </w:r>
      <w:r>
        <w:rPr>
          <w:rFonts w:ascii="Times New Roman" w:hAnsi="Times New Roman" w:cs="Times New Roman"/>
          <w:lang w:val="en-CA"/>
        </w:rPr>
        <w:t>‘</w:t>
      </w:r>
      <w:r w:rsidRPr="00431F3C">
        <w:rPr>
          <w:rFonts w:ascii="Times New Roman" w:hAnsi="Times New Roman" w:cs="Times New Roman"/>
          <w:lang w:val="en-CA"/>
        </w:rPr>
        <w:t>Two Legs are Better than Three: New Zealand as a Model for Old Age Pensions</w:t>
      </w:r>
      <w:r>
        <w:rPr>
          <w:rFonts w:ascii="Times New Roman" w:hAnsi="Times New Roman" w:cs="Times New Roman"/>
          <w:lang w:val="en-CA"/>
        </w:rPr>
        <w:t>’</w:t>
      </w:r>
      <w:r w:rsidRPr="00431F3C">
        <w:rPr>
          <w:rFonts w:ascii="Times New Roman" w:hAnsi="Times New Roman" w:cs="Times New Roman"/>
          <w:lang w:val="en-CA"/>
        </w:rPr>
        <w:t xml:space="preserve">, </w:t>
      </w:r>
      <w:r w:rsidRPr="00431F3C">
        <w:rPr>
          <w:rFonts w:ascii="Times New Roman" w:hAnsi="Times New Roman" w:cs="Times New Roman"/>
          <w:i/>
          <w:lang w:val="en-CA"/>
        </w:rPr>
        <w:t>World Development</w:t>
      </w:r>
      <w:r>
        <w:rPr>
          <w:rFonts w:ascii="Times New Roman" w:hAnsi="Times New Roman" w:cs="Times New Roman"/>
          <w:lang w:val="en-CA"/>
        </w:rPr>
        <w:t xml:space="preserve"> 29(</w:t>
      </w:r>
      <w:r w:rsidRPr="00431F3C">
        <w:rPr>
          <w:rFonts w:ascii="Times New Roman" w:hAnsi="Times New Roman" w:cs="Times New Roman"/>
          <w:lang w:val="en-CA"/>
        </w:rPr>
        <w:t>8</w:t>
      </w:r>
      <w:r>
        <w:rPr>
          <w:rFonts w:ascii="Times New Roman" w:hAnsi="Times New Roman" w:cs="Times New Roman"/>
          <w:lang w:val="en-CA"/>
        </w:rPr>
        <w:t>)</w:t>
      </w:r>
      <w:r w:rsidRPr="00431F3C">
        <w:rPr>
          <w:rFonts w:ascii="Times New Roman" w:hAnsi="Times New Roman" w:cs="Times New Roman"/>
          <w:lang w:val="en-CA"/>
        </w:rPr>
        <w:t>: 1291-1305.</w:t>
      </w:r>
    </w:p>
    <w:p w14:paraId="33512D15" w14:textId="77777777" w:rsidR="00BE2BAD" w:rsidRPr="00431F3C" w:rsidRDefault="00BE2BAD" w:rsidP="00BE2BAD">
      <w:pPr>
        <w:spacing w:line="480" w:lineRule="auto"/>
        <w:ind w:left="709" w:hanging="709"/>
        <w:jc w:val="both"/>
        <w:rPr>
          <w:rFonts w:ascii="Times New Roman" w:hAnsi="Times New Roman" w:cs="Times New Roman"/>
          <w:shd w:val="clear" w:color="auto" w:fill="FFFFFF"/>
          <w:lang w:val="en-CA"/>
        </w:rPr>
      </w:pPr>
      <w:r w:rsidRPr="00431F3C">
        <w:rPr>
          <w:rFonts w:ascii="Times New Roman" w:hAnsi="Times New Roman" w:cs="Times New Roman"/>
          <w:lang w:val="en-CA"/>
        </w:rPr>
        <w:t xml:space="preserve">Tepe, M. </w:t>
      </w:r>
      <w:r>
        <w:rPr>
          <w:rFonts w:ascii="Times New Roman" w:hAnsi="Times New Roman" w:cs="Times New Roman"/>
          <w:lang w:val="en-CA"/>
        </w:rPr>
        <w:t>and Vanhuysse, P. (2010)</w:t>
      </w:r>
      <w:r w:rsidRPr="00431F3C">
        <w:rPr>
          <w:rFonts w:ascii="Times New Roman" w:hAnsi="Times New Roman" w:cs="Times New Roman"/>
          <w:lang w:val="en-CA"/>
        </w:rPr>
        <w:t xml:space="preserve"> </w:t>
      </w:r>
      <w:r>
        <w:rPr>
          <w:rFonts w:ascii="Times New Roman" w:hAnsi="Times New Roman" w:cs="Times New Roman"/>
          <w:lang w:val="en-CA"/>
        </w:rPr>
        <w:t>‘</w:t>
      </w:r>
      <w:r w:rsidRPr="00431F3C">
        <w:rPr>
          <w:rFonts w:ascii="Times New Roman" w:eastAsia="Times New Roman" w:hAnsi="Times New Roman" w:cs="Times New Roman"/>
          <w:lang w:val="en-CA"/>
        </w:rPr>
        <w:t>Elderly Bias, New Social Risks, and Social Spending: Investigating Change and Timing in Eight Programs Across Four Worlds of Welfare, 1980-2003</w:t>
      </w:r>
      <w:r>
        <w:rPr>
          <w:rFonts w:ascii="Times New Roman" w:eastAsia="Times New Roman" w:hAnsi="Times New Roman" w:cs="Times New Roman"/>
          <w:lang w:val="en-CA"/>
        </w:rPr>
        <w:t>’</w:t>
      </w:r>
      <w:r w:rsidRPr="00431F3C">
        <w:rPr>
          <w:rFonts w:ascii="Times New Roman" w:eastAsia="Times New Roman" w:hAnsi="Times New Roman" w:cs="Times New Roman"/>
          <w:lang w:val="en-CA"/>
        </w:rPr>
        <w:t xml:space="preserve">, </w:t>
      </w:r>
      <w:r w:rsidRPr="00431F3C">
        <w:rPr>
          <w:rFonts w:ascii="Times New Roman" w:eastAsia="Times New Roman" w:hAnsi="Times New Roman" w:cs="Times New Roman"/>
          <w:i/>
          <w:lang w:val="en-CA"/>
        </w:rPr>
        <w:t>Journal of European Social Policy</w:t>
      </w:r>
      <w:r>
        <w:rPr>
          <w:rFonts w:ascii="Times New Roman" w:eastAsia="Times New Roman" w:hAnsi="Times New Roman" w:cs="Times New Roman"/>
          <w:lang w:val="en-CA"/>
        </w:rPr>
        <w:t xml:space="preserve"> 20(</w:t>
      </w:r>
      <w:r w:rsidRPr="00431F3C">
        <w:rPr>
          <w:rFonts w:ascii="Times New Roman" w:eastAsia="Times New Roman" w:hAnsi="Times New Roman" w:cs="Times New Roman"/>
          <w:lang w:val="en-CA"/>
        </w:rPr>
        <w:t>3</w:t>
      </w:r>
      <w:r>
        <w:rPr>
          <w:rFonts w:ascii="Times New Roman" w:eastAsia="Times New Roman" w:hAnsi="Times New Roman" w:cs="Times New Roman"/>
          <w:lang w:val="en-CA"/>
        </w:rPr>
        <w:t>)</w:t>
      </w:r>
      <w:r w:rsidRPr="00431F3C">
        <w:rPr>
          <w:rFonts w:ascii="Times New Roman" w:eastAsia="Times New Roman" w:hAnsi="Times New Roman" w:cs="Times New Roman"/>
          <w:lang w:val="en-CA"/>
        </w:rPr>
        <w:t>: 217-34.</w:t>
      </w:r>
    </w:p>
    <w:p w14:paraId="4C3B3BC5" w14:textId="77777777" w:rsidR="00BE2BAD" w:rsidRPr="00431F3C" w:rsidRDefault="00BE2BAD" w:rsidP="00BE2BAD">
      <w:pPr>
        <w:spacing w:line="480" w:lineRule="auto"/>
        <w:ind w:left="709" w:hanging="709"/>
        <w:jc w:val="both"/>
        <w:rPr>
          <w:rFonts w:ascii="Times New Roman" w:hAnsi="Times New Roman" w:cs="Times New Roman"/>
          <w:shd w:val="clear" w:color="auto" w:fill="FFFFFF"/>
          <w:lang w:val="en-CA"/>
        </w:rPr>
      </w:pPr>
      <w:r w:rsidRPr="00431F3C">
        <w:rPr>
          <w:rFonts w:ascii="Times New Roman" w:hAnsi="Times New Roman" w:cs="Times New Roman"/>
          <w:shd w:val="clear" w:color="auto" w:fill="FFFFFF"/>
          <w:lang w:val="en-CA"/>
        </w:rPr>
        <w:lastRenderedPageBreak/>
        <w:t>Van Lancker, W.</w:t>
      </w:r>
      <w:r>
        <w:rPr>
          <w:rFonts w:ascii="Times New Roman" w:hAnsi="Times New Roman" w:cs="Times New Roman"/>
          <w:shd w:val="clear" w:color="auto" w:fill="FFFFFF"/>
          <w:lang w:val="en-CA"/>
        </w:rPr>
        <w:t xml:space="preserve">, </w:t>
      </w:r>
      <w:r w:rsidRPr="00431F3C">
        <w:rPr>
          <w:rFonts w:ascii="Times New Roman" w:hAnsi="Times New Roman" w:cs="Times New Roman"/>
          <w:shd w:val="clear" w:color="auto" w:fill="FFFFFF"/>
          <w:lang w:val="en-CA"/>
        </w:rPr>
        <w:t xml:space="preserve">Ghysels, </w:t>
      </w:r>
      <w:r>
        <w:rPr>
          <w:rFonts w:ascii="Times New Roman" w:hAnsi="Times New Roman" w:cs="Times New Roman"/>
          <w:shd w:val="clear" w:color="auto" w:fill="FFFFFF"/>
          <w:lang w:val="en-CA"/>
        </w:rPr>
        <w:t xml:space="preserve">J. </w:t>
      </w:r>
      <w:r w:rsidRPr="00431F3C">
        <w:rPr>
          <w:rFonts w:ascii="Times New Roman" w:hAnsi="Times New Roman" w:cs="Times New Roman"/>
          <w:shd w:val="clear" w:color="auto" w:fill="FFFFFF"/>
          <w:lang w:val="en-CA"/>
        </w:rPr>
        <w:t>and Cantillon</w:t>
      </w:r>
      <w:r>
        <w:rPr>
          <w:rFonts w:ascii="Times New Roman" w:hAnsi="Times New Roman" w:cs="Times New Roman"/>
          <w:shd w:val="clear" w:color="auto" w:fill="FFFFFF"/>
          <w:lang w:val="en-CA"/>
        </w:rPr>
        <w:t>, B.</w:t>
      </w:r>
      <w:r w:rsidRPr="00431F3C">
        <w:rPr>
          <w:rFonts w:ascii="Times New Roman" w:hAnsi="Times New Roman" w:cs="Times New Roman"/>
          <w:shd w:val="clear" w:color="auto" w:fill="FFFFFF"/>
          <w:lang w:val="en-CA"/>
        </w:rPr>
        <w:t xml:space="preserve"> (2015) </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The Impact of Child Benefits on Single Mother Poverty: Exploring the Role of Targeting in 15 European Countries</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w:t>
      </w:r>
      <w:r w:rsidRPr="00431F3C">
        <w:rPr>
          <w:rStyle w:val="apple-converted-space"/>
          <w:rFonts w:ascii="Times New Roman" w:hAnsi="Times New Roman" w:cs="Times New Roman"/>
          <w:shd w:val="clear" w:color="auto" w:fill="FFFFFF"/>
          <w:lang w:val="en-CA"/>
        </w:rPr>
        <w:t> </w:t>
      </w:r>
      <w:r w:rsidRPr="00431F3C">
        <w:rPr>
          <w:rFonts w:ascii="Times New Roman" w:hAnsi="Times New Roman" w:cs="Times New Roman"/>
          <w:i/>
          <w:iCs/>
          <w:shd w:val="clear" w:color="auto" w:fill="FFFFFF"/>
          <w:lang w:val="en-CA"/>
        </w:rPr>
        <w:t>International Journal of Social Welfare,</w:t>
      </w:r>
      <w:r w:rsidRPr="00431F3C">
        <w:rPr>
          <w:rStyle w:val="apple-converted-space"/>
          <w:rFonts w:ascii="Times New Roman" w:hAnsi="Times New Roman" w:cs="Times New Roman"/>
          <w:shd w:val="clear" w:color="auto" w:fill="FFFFFF"/>
          <w:lang w:val="en-CA"/>
        </w:rPr>
        <w:t> </w:t>
      </w:r>
      <w:r w:rsidRPr="00431F3C">
        <w:rPr>
          <w:rFonts w:ascii="Times New Roman" w:hAnsi="Times New Roman" w:cs="Times New Roman"/>
          <w:shd w:val="clear" w:color="auto" w:fill="FFFFFF"/>
          <w:lang w:val="en-CA"/>
        </w:rPr>
        <w:t>24</w:t>
      </w:r>
      <w:r>
        <w:rPr>
          <w:rFonts w:ascii="Times New Roman" w:hAnsi="Times New Roman" w:cs="Times New Roman"/>
          <w:shd w:val="clear" w:color="auto" w:fill="FFFFFF"/>
          <w:lang w:val="en-CA"/>
        </w:rPr>
        <w:t>(3)</w:t>
      </w:r>
      <w:r w:rsidRPr="00431F3C">
        <w:rPr>
          <w:rFonts w:ascii="Times New Roman" w:hAnsi="Times New Roman" w:cs="Times New Roman"/>
          <w:shd w:val="clear" w:color="auto" w:fill="FFFFFF"/>
          <w:lang w:val="en-CA"/>
        </w:rPr>
        <w:t>: 210-22.</w:t>
      </w:r>
    </w:p>
    <w:p w14:paraId="0570BF66" w14:textId="285412FC" w:rsidR="006A62C6" w:rsidRPr="00741D6F" w:rsidRDefault="00BE2BAD" w:rsidP="00741D6F">
      <w:pPr>
        <w:spacing w:line="480" w:lineRule="auto"/>
        <w:ind w:left="709" w:hanging="709"/>
        <w:jc w:val="both"/>
        <w:rPr>
          <w:rFonts w:ascii="Times New Roman" w:hAnsi="Times New Roman" w:cs="Times New Roman"/>
          <w:shd w:val="clear" w:color="auto" w:fill="FFFFFF"/>
          <w:lang w:val="en-CA"/>
        </w:rPr>
      </w:pPr>
      <w:r w:rsidRPr="00431F3C">
        <w:rPr>
          <w:rFonts w:ascii="Times New Roman" w:hAnsi="Times New Roman" w:cs="Times New Roman"/>
          <w:shd w:val="clear" w:color="auto" w:fill="FFFFFF"/>
          <w:lang w:val="en-CA"/>
        </w:rPr>
        <w:t>Van Lancker, W. and</w:t>
      </w:r>
      <w:r>
        <w:rPr>
          <w:rFonts w:ascii="Times New Roman" w:hAnsi="Times New Roman" w:cs="Times New Roman"/>
          <w:shd w:val="clear" w:color="auto" w:fill="FFFFFF"/>
          <w:lang w:val="en-CA"/>
        </w:rPr>
        <w:t xml:space="preserve"> </w:t>
      </w:r>
      <w:r w:rsidRPr="00431F3C">
        <w:rPr>
          <w:rFonts w:ascii="Times New Roman" w:hAnsi="Times New Roman" w:cs="Times New Roman"/>
          <w:shd w:val="clear" w:color="auto" w:fill="FFFFFF"/>
          <w:lang w:val="en-CA"/>
        </w:rPr>
        <w:t>Van Mechelen</w:t>
      </w:r>
      <w:r>
        <w:rPr>
          <w:rFonts w:ascii="Times New Roman" w:hAnsi="Times New Roman" w:cs="Times New Roman"/>
          <w:shd w:val="clear" w:color="auto" w:fill="FFFFFF"/>
          <w:lang w:val="en-CA"/>
        </w:rPr>
        <w:t>, N.</w:t>
      </w:r>
      <w:r w:rsidRPr="00431F3C">
        <w:rPr>
          <w:rFonts w:ascii="Times New Roman" w:hAnsi="Times New Roman" w:cs="Times New Roman"/>
          <w:shd w:val="clear" w:color="auto" w:fill="FFFFFF"/>
          <w:lang w:val="en-CA"/>
        </w:rPr>
        <w:t xml:space="preserve"> (2015) </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Universalism Under Siege? Exploring the Association Between Targeting, Child Benefits and Child Poverty Across 26 Countries</w:t>
      </w:r>
      <w:r>
        <w:rPr>
          <w:rFonts w:ascii="Times New Roman" w:hAnsi="Times New Roman" w:cs="Times New Roman"/>
          <w:shd w:val="clear" w:color="auto" w:fill="FFFFFF"/>
          <w:lang w:val="en-CA"/>
        </w:rPr>
        <w:t>’</w:t>
      </w:r>
      <w:r w:rsidRPr="00431F3C">
        <w:rPr>
          <w:rFonts w:ascii="Times New Roman" w:hAnsi="Times New Roman" w:cs="Times New Roman"/>
          <w:shd w:val="clear" w:color="auto" w:fill="FFFFFF"/>
          <w:lang w:val="en-CA"/>
        </w:rPr>
        <w:t>,</w:t>
      </w:r>
      <w:r w:rsidRPr="00431F3C">
        <w:rPr>
          <w:rStyle w:val="apple-converted-space"/>
          <w:rFonts w:ascii="Times New Roman" w:hAnsi="Times New Roman" w:cs="Times New Roman"/>
          <w:shd w:val="clear" w:color="auto" w:fill="FFFFFF"/>
          <w:lang w:val="en-CA"/>
        </w:rPr>
        <w:t> </w:t>
      </w:r>
      <w:r w:rsidRPr="00431F3C">
        <w:rPr>
          <w:rFonts w:ascii="Times New Roman" w:hAnsi="Times New Roman" w:cs="Times New Roman"/>
          <w:i/>
          <w:iCs/>
          <w:shd w:val="clear" w:color="auto" w:fill="FFFFFF"/>
          <w:lang w:val="en-CA"/>
        </w:rPr>
        <w:t>Social Science Research,</w:t>
      </w:r>
      <w:r w:rsidRPr="00431F3C">
        <w:rPr>
          <w:rStyle w:val="apple-converted-space"/>
          <w:rFonts w:ascii="Times New Roman" w:hAnsi="Times New Roman" w:cs="Times New Roman"/>
          <w:shd w:val="clear" w:color="auto" w:fill="FFFFFF"/>
          <w:lang w:val="en-CA"/>
        </w:rPr>
        <w:t> </w:t>
      </w:r>
      <w:r w:rsidRPr="00431F3C">
        <w:rPr>
          <w:rFonts w:ascii="Times New Roman" w:hAnsi="Times New Roman" w:cs="Times New Roman"/>
          <w:shd w:val="clear" w:color="auto" w:fill="FFFFFF"/>
          <w:lang w:val="en-CA"/>
        </w:rPr>
        <w:t>50: 60-75.</w:t>
      </w:r>
    </w:p>
    <w:sectPr w:rsidR="006A62C6" w:rsidRPr="00741D6F" w:rsidSect="00E66C11">
      <w:headerReference w:type="even" r:id="rId10"/>
      <w:headerReference w:type="default" r:id="rId11"/>
      <w:pgSz w:w="12240" w:h="15840"/>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36012" w14:textId="77777777" w:rsidR="005C7F85" w:rsidRDefault="005C7F85" w:rsidP="00AC6E0C">
      <w:r>
        <w:separator/>
      </w:r>
    </w:p>
  </w:endnote>
  <w:endnote w:type="continuationSeparator" w:id="0">
    <w:p w14:paraId="0CA8DE6A" w14:textId="77777777" w:rsidR="005C7F85" w:rsidRDefault="005C7F85" w:rsidP="00AC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4423A" w14:textId="77777777" w:rsidR="005C7F85" w:rsidRDefault="005C7F85" w:rsidP="00AC6E0C">
      <w:r>
        <w:separator/>
      </w:r>
    </w:p>
  </w:footnote>
  <w:footnote w:type="continuationSeparator" w:id="0">
    <w:p w14:paraId="2B7CF6F9" w14:textId="77777777" w:rsidR="005C7F85" w:rsidRDefault="005C7F85" w:rsidP="00AC6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1094100"/>
      <w:docPartObj>
        <w:docPartGallery w:val="Page Numbers (Top of Page)"/>
        <w:docPartUnique/>
      </w:docPartObj>
    </w:sdtPr>
    <w:sdtEndPr>
      <w:rPr>
        <w:rStyle w:val="PageNumber"/>
      </w:rPr>
    </w:sdtEndPr>
    <w:sdtContent>
      <w:p w14:paraId="7A4AB27D" w14:textId="23F5C45A" w:rsidR="006A26B7" w:rsidRDefault="006A26B7" w:rsidP="00DB2B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BC9FC8" w14:textId="77777777" w:rsidR="006A26B7" w:rsidRDefault="006A26B7" w:rsidP="00AC6E0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96627786"/>
      <w:docPartObj>
        <w:docPartGallery w:val="Page Numbers (Top of Page)"/>
        <w:docPartUnique/>
      </w:docPartObj>
    </w:sdtPr>
    <w:sdtEndPr>
      <w:rPr>
        <w:rStyle w:val="PageNumber"/>
      </w:rPr>
    </w:sdtEndPr>
    <w:sdtContent>
      <w:p w14:paraId="3DC94DF9" w14:textId="6364D787" w:rsidR="006A26B7" w:rsidRDefault="006A26B7" w:rsidP="00DB2B9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8177D">
          <w:rPr>
            <w:rStyle w:val="PageNumber"/>
            <w:noProof/>
          </w:rPr>
          <w:t>31</w:t>
        </w:r>
        <w:r>
          <w:rPr>
            <w:rStyle w:val="PageNumber"/>
          </w:rPr>
          <w:fldChar w:fldCharType="end"/>
        </w:r>
      </w:p>
    </w:sdtContent>
  </w:sdt>
  <w:p w14:paraId="2C8D24CB" w14:textId="77777777" w:rsidR="006A26B7" w:rsidRDefault="006A26B7" w:rsidP="00AC6E0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A701D"/>
    <w:multiLevelType w:val="hybridMultilevel"/>
    <w:tmpl w:val="2F80AFE2"/>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576B6AC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hideGrammaticalError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F34"/>
    <w:rsid w:val="00000065"/>
    <w:rsid w:val="00000C14"/>
    <w:rsid w:val="000014A4"/>
    <w:rsid w:val="00001B5C"/>
    <w:rsid w:val="00002B11"/>
    <w:rsid w:val="00002CC1"/>
    <w:rsid w:val="00005425"/>
    <w:rsid w:val="0000754E"/>
    <w:rsid w:val="00010673"/>
    <w:rsid w:val="00010740"/>
    <w:rsid w:val="00011526"/>
    <w:rsid w:val="000143E9"/>
    <w:rsid w:val="00022177"/>
    <w:rsid w:val="00026406"/>
    <w:rsid w:val="000264F0"/>
    <w:rsid w:val="00027AC4"/>
    <w:rsid w:val="00030C1D"/>
    <w:rsid w:val="00030F43"/>
    <w:rsid w:val="00037090"/>
    <w:rsid w:val="0003725D"/>
    <w:rsid w:val="000375AC"/>
    <w:rsid w:val="00037C08"/>
    <w:rsid w:val="000423EE"/>
    <w:rsid w:val="00046432"/>
    <w:rsid w:val="00050F7F"/>
    <w:rsid w:val="00051AB8"/>
    <w:rsid w:val="00055BEF"/>
    <w:rsid w:val="0005610E"/>
    <w:rsid w:val="00056288"/>
    <w:rsid w:val="00056F1C"/>
    <w:rsid w:val="0006068E"/>
    <w:rsid w:val="000624C8"/>
    <w:rsid w:val="00063EFA"/>
    <w:rsid w:val="0007122D"/>
    <w:rsid w:val="000723C7"/>
    <w:rsid w:val="000740A1"/>
    <w:rsid w:val="00074174"/>
    <w:rsid w:val="00076D30"/>
    <w:rsid w:val="00080711"/>
    <w:rsid w:val="00080F57"/>
    <w:rsid w:val="00081451"/>
    <w:rsid w:val="000821AC"/>
    <w:rsid w:val="000827A5"/>
    <w:rsid w:val="00083349"/>
    <w:rsid w:val="00086F16"/>
    <w:rsid w:val="00086F3C"/>
    <w:rsid w:val="00094CA8"/>
    <w:rsid w:val="000958F6"/>
    <w:rsid w:val="000978C9"/>
    <w:rsid w:val="00097BB8"/>
    <w:rsid w:val="000A04CA"/>
    <w:rsid w:val="000A0AAC"/>
    <w:rsid w:val="000A1201"/>
    <w:rsid w:val="000A1D58"/>
    <w:rsid w:val="000A331B"/>
    <w:rsid w:val="000A3BC5"/>
    <w:rsid w:val="000A54D8"/>
    <w:rsid w:val="000A584C"/>
    <w:rsid w:val="000A6CAF"/>
    <w:rsid w:val="000A7B5F"/>
    <w:rsid w:val="000B0739"/>
    <w:rsid w:val="000B222D"/>
    <w:rsid w:val="000B2284"/>
    <w:rsid w:val="000B4A3D"/>
    <w:rsid w:val="000B5099"/>
    <w:rsid w:val="000C11B2"/>
    <w:rsid w:val="000C3352"/>
    <w:rsid w:val="000C341A"/>
    <w:rsid w:val="000C3C9A"/>
    <w:rsid w:val="000C50B9"/>
    <w:rsid w:val="000C5298"/>
    <w:rsid w:val="000C57E5"/>
    <w:rsid w:val="000C5AE5"/>
    <w:rsid w:val="000D1F5F"/>
    <w:rsid w:val="000D2B44"/>
    <w:rsid w:val="000D6903"/>
    <w:rsid w:val="000E15D1"/>
    <w:rsid w:val="000E358D"/>
    <w:rsid w:val="000E4EB1"/>
    <w:rsid w:val="000E594D"/>
    <w:rsid w:val="000E794B"/>
    <w:rsid w:val="000F0D83"/>
    <w:rsid w:val="000F56A2"/>
    <w:rsid w:val="000F7CA6"/>
    <w:rsid w:val="001025ED"/>
    <w:rsid w:val="001101D4"/>
    <w:rsid w:val="001141AF"/>
    <w:rsid w:val="0011441D"/>
    <w:rsid w:val="00115CCB"/>
    <w:rsid w:val="0012112B"/>
    <w:rsid w:val="00123950"/>
    <w:rsid w:val="001241C0"/>
    <w:rsid w:val="00131E05"/>
    <w:rsid w:val="00132F34"/>
    <w:rsid w:val="00135AF5"/>
    <w:rsid w:val="00135B3B"/>
    <w:rsid w:val="00136414"/>
    <w:rsid w:val="00137953"/>
    <w:rsid w:val="00137ABD"/>
    <w:rsid w:val="00137D14"/>
    <w:rsid w:val="001404B8"/>
    <w:rsid w:val="00144271"/>
    <w:rsid w:val="00147234"/>
    <w:rsid w:val="00147C6C"/>
    <w:rsid w:val="001505EB"/>
    <w:rsid w:val="00152094"/>
    <w:rsid w:val="00152300"/>
    <w:rsid w:val="00153BE2"/>
    <w:rsid w:val="00156B2D"/>
    <w:rsid w:val="00156FD1"/>
    <w:rsid w:val="00157CB1"/>
    <w:rsid w:val="00160E61"/>
    <w:rsid w:val="001628DE"/>
    <w:rsid w:val="00162FB7"/>
    <w:rsid w:val="00164F4B"/>
    <w:rsid w:val="00166219"/>
    <w:rsid w:val="00167EEE"/>
    <w:rsid w:val="00172522"/>
    <w:rsid w:val="00174476"/>
    <w:rsid w:val="00174D3D"/>
    <w:rsid w:val="00175A98"/>
    <w:rsid w:val="00180065"/>
    <w:rsid w:val="00180E9A"/>
    <w:rsid w:val="00181C76"/>
    <w:rsid w:val="001834C9"/>
    <w:rsid w:val="00187AA9"/>
    <w:rsid w:val="00190BCE"/>
    <w:rsid w:val="00192FB3"/>
    <w:rsid w:val="00193F96"/>
    <w:rsid w:val="001A286D"/>
    <w:rsid w:val="001A3642"/>
    <w:rsid w:val="001A3816"/>
    <w:rsid w:val="001B1885"/>
    <w:rsid w:val="001B194C"/>
    <w:rsid w:val="001B2774"/>
    <w:rsid w:val="001B4AE2"/>
    <w:rsid w:val="001C0D5A"/>
    <w:rsid w:val="001C10A3"/>
    <w:rsid w:val="001C203C"/>
    <w:rsid w:val="001C2C18"/>
    <w:rsid w:val="001C31D4"/>
    <w:rsid w:val="001C3E8E"/>
    <w:rsid w:val="001C601F"/>
    <w:rsid w:val="001D0204"/>
    <w:rsid w:val="001D2719"/>
    <w:rsid w:val="001D33D5"/>
    <w:rsid w:val="001D456C"/>
    <w:rsid w:val="001D5DDD"/>
    <w:rsid w:val="001E07F1"/>
    <w:rsid w:val="001E177A"/>
    <w:rsid w:val="001E47E9"/>
    <w:rsid w:val="001F51B3"/>
    <w:rsid w:val="0020048C"/>
    <w:rsid w:val="00203FE5"/>
    <w:rsid w:val="00205A9B"/>
    <w:rsid w:val="00210790"/>
    <w:rsid w:val="00210987"/>
    <w:rsid w:val="002113D2"/>
    <w:rsid w:val="0021150E"/>
    <w:rsid w:val="002145AE"/>
    <w:rsid w:val="002147F6"/>
    <w:rsid w:val="00216C61"/>
    <w:rsid w:val="00220251"/>
    <w:rsid w:val="00223357"/>
    <w:rsid w:val="002314BE"/>
    <w:rsid w:val="00231C70"/>
    <w:rsid w:val="0023237C"/>
    <w:rsid w:val="00232C48"/>
    <w:rsid w:val="00233E44"/>
    <w:rsid w:val="00237146"/>
    <w:rsid w:val="00243412"/>
    <w:rsid w:val="002439D1"/>
    <w:rsid w:val="00243F43"/>
    <w:rsid w:val="00244BB9"/>
    <w:rsid w:val="002458DB"/>
    <w:rsid w:val="002507C5"/>
    <w:rsid w:val="00251B6E"/>
    <w:rsid w:val="00252FB8"/>
    <w:rsid w:val="002563EB"/>
    <w:rsid w:val="002611D1"/>
    <w:rsid w:val="00262EDF"/>
    <w:rsid w:val="0026331F"/>
    <w:rsid w:val="00266253"/>
    <w:rsid w:val="0026650A"/>
    <w:rsid w:val="00266D67"/>
    <w:rsid w:val="00270B46"/>
    <w:rsid w:val="0027303E"/>
    <w:rsid w:val="00276DDC"/>
    <w:rsid w:val="0027783E"/>
    <w:rsid w:val="002779FA"/>
    <w:rsid w:val="00280E38"/>
    <w:rsid w:val="00280F00"/>
    <w:rsid w:val="00281016"/>
    <w:rsid w:val="00282B46"/>
    <w:rsid w:val="00284D59"/>
    <w:rsid w:val="00286755"/>
    <w:rsid w:val="00291667"/>
    <w:rsid w:val="002917F2"/>
    <w:rsid w:val="002924A8"/>
    <w:rsid w:val="002947E6"/>
    <w:rsid w:val="00294DAF"/>
    <w:rsid w:val="002A091F"/>
    <w:rsid w:val="002A0C33"/>
    <w:rsid w:val="002A3C9C"/>
    <w:rsid w:val="002A3E80"/>
    <w:rsid w:val="002A5592"/>
    <w:rsid w:val="002B1819"/>
    <w:rsid w:val="002B1AAB"/>
    <w:rsid w:val="002B39A2"/>
    <w:rsid w:val="002B5F88"/>
    <w:rsid w:val="002B7041"/>
    <w:rsid w:val="002C19BA"/>
    <w:rsid w:val="002C3974"/>
    <w:rsid w:val="002C42DC"/>
    <w:rsid w:val="002C5C6D"/>
    <w:rsid w:val="002D39D6"/>
    <w:rsid w:val="002D3EA3"/>
    <w:rsid w:val="002D583F"/>
    <w:rsid w:val="002D7A14"/>
    <w:rsid w:val="002E050B"/>
    <w:rsid w:val="002E125D"/>
    <w:rsid w:val="002E191C"/>
    <w:rsid w:val="002E2B50"/>
    <w:rsid w:val="002E73BE"/>
    <w:rsid w:val="002E745E"/>
    <w:rsid w:val="002F22EF"/>
    <w:rsid w:val="002F4171"/>
    <w:rsid w:val="002F56FD"/>
    <w:rsid w:val="002F683D"/>
    <w:rsid w:val="002F740C"/>
    <w:rsid w:val="00300B76"/>
    <w:rsid w:val="0030595A"/>
    <w:rsid w:val="003124C3"/>
    <w:rsid w:val="003141D0"/>
    <w:rsid w:val="00316E25"/>
    <w:rsid w:val="003208A7"/>
    <w:rsid w:val="00321E3C"/>
    <w:rsid w:val="003221F3"/>
    <w:rsid w:val="0032481D"/>
    <w:rsid w:val="0032774A"/>
    <w:rsid w:val="00327EE9"/>
    <w:rsid w:val="003343EB"/>
    <w:rsid w:val="00336E26"/>
    <w:rsid w:val="0034015D"/>
    <w:rsid w:val="0034168A"/>
    <w:rsid w:val="00344C20"/>
    <w:rsid w:val="00345031"/>
    <w:rsid w:val="0035249A"/>
    <w:rsid w:val="00352F4E"/>
    <w:rsid w:val="00353908"/>
    <w:rsid w:val="0035462F"/>
    <w:rsid w:val="00361594"/>
    <w:rsid w:val="00363C13"/>
    <w:rsid w:val="00367AB1"/>
    <w:rsid w:val="00372404"/>
    <w:rsid w:val="00373E5A"/>
    <w:rsid w:val="00375AC2"/>
    <w:rsid w:val="00380B73"/>
    <w:rsid w:val="003829D9"/>
    <w:rsid w:val="00387100"/>
    <w:rsid w:val="00391D49"/>
    <w:rsid w:val="003A32A2"/>
    <w:rsid w:val="003A53D8"/>
    <w:rsid w:val="003A7E51"/>
    <w:rsid w:val="003B6784"/>
    <w:rsid w:val="003B74D8"/>
    <w:rsid w:val="003C0DEB"/>
    <w:rsid w:val="003C17D3"/>
    <w:rsid w:val="003C2612"/>
    <w:rsid w:val="003C5885"/>
    <w:rsid w:val="003D3CB2"/>
    <w:rsid w:val="003D50CC"/>
    <w:rsid w:val="003E0059"/>
    <w:rsid w:val="003E2502"/>
    <w:rsid w:val="003F1C5A"/>
    <w:rsid w:val="003F2B9E"/>
    <w:rsid w:val="003F426F"/>
    <w:rsid w:val="003F525E"/>
    <w:rsid w:val="00402011"/>
    <w:rsid w:val="004030BC"/>
    <w:rsid w:val="004035F6"/>
    <w:rsid w:val="004054AF"/>
    <w:rsid w:val="00405865"/>
    <w:rsid w:val="00406F5C"/>
    <w:rsid w:val="00410869"/>
    <w:rsid w:val="00412F4C"/>
    <w:rsid w:val="00413B05"/>
    <w:rsid w:val="004164DB"/>
    <w:rsid w:val="00420493"/>
    <w:rsid w:val="004204AF"/>
    <w:rsid w:val="00421015"/>
    <w:rsid w:val="004210FE"/>
    <w:rsid w:val="004211CE"/>
    <w:rsid w:val="00425D7E"/>
    <w:rsid w:val="00426F30"/>
    <w:rsid w:val="00427178"/>
    <w:rsid w:val="004304AA"/>
    <w:rsid w:val="004363A1"/>
    <w:rsid w:val="00436B5B"/>
    <w:rsid w:val="00441776"/>
    <w:rsid w:val="00444EF2"/>
    <w:rsid w:val="004500D0"/>
    <w:rsid w:val="0045015C"/>
    <w:rsid w:val="00452FD5"/>
    <w:rsid w:val="004544AD"/>
    <w:rsid w:val="00454F67"/>
    <w:rsid w:val="00455C1C"/>
    <w:rsid w:val="00455F54"/>
    <w:rsid w:val="00457FA1"/>
    <w:rsid w:val="00461228"/>
    <w:rsid w:val="004625EB"/>
    <w:rsid w:val="00462D42"/>
    <w:rsid w:val="00466235"/>
    <w:rsid w:val="00466F36"/>
    <w:rsid w:val="0047008F"/>
    <w:rsid w:val="00473C4F"/>
    <w:rsid w:val="0047403F"/>
    <w:rsid w:val="00480CA5"/>
    <w:rsid w:val="0048106F"/>
    <w:rsid w:val="004810DA"/>
    <w:rsid w:val="00485519"/>
    <w:rsid w:val="00485E85"/>
    <w:rsid w:val="004863CC"/>
    <w:rsid w:val="00490069"/>
    <w:rsid w:val="00492087"/>
    <w:rsid w:val="00494DE3"/>
    <w:rsid w:val="004977DF"/>
    <w:rsid w:val="004A1BBF"/>
    <w:rsid w:val="004A2966"/>
    <w:rsid w:val="004A3C07"/>
    <w:rsid w:val="004A499A"/>
    <w:rsid w:val="004A4F96"/>
    <w:rsid w:val="004A6C7D"/>
    <w:rsid w:val="004A7362"/>
    <w:rsid w:val="004B0C18"/>
    <w:rsid w:val="004B6E69"/>
    <w:rsid w:val="004B741F"/>
    <w:rsid w:val="004C35CB"/>
    <w:rsid w:val="004C488E"/>
    <w:rsid w:val="004D1E47"/>
    <w:rsid w:val="004D1F6A"/>
    <w:rsid w:val="004D2D36"/>
    <w:rsid w:val="004E0245"/>
    <w:rsid w:val="004E634C"/>
    <w:rsid w:val="004E7339"/>
    <w:rsid w:val="004E7C27"/>
    <w:rsid w:val="004F2689"/>
    <w:rsid w:val="004F3F4E"/>
    <w:rsid w:val="004F561A"/>
    <w:rsid w:val="0050040D"/>
    <w:rsid w:val="00501151"/>
    <w:rsid w:val="005023FE"/>
    <w:rsid w:val="00504CAF"/>
    <w:rsid w:val="00507B40"/>
    <w:rsid w:val="00511533"/>
    <w:rsid w:val="00512B34"/>
    <w:rsid w:val="00514772"/>
    <w:rsid w:val="005150F1"/>
    <w:rsid w:val="00522689"/>
    <w:rsid w:val="00523201"/>
    <w:rsid w:val="00524459"/>
    <w:rsid w:val="0052609E"/>
    <w:rsid w:val="005276AC"/>
    <w:rsid w:val="005309D8"/>
    <w:rsid w:val="00532570"/>
    <w:rsid w:val="00532F04"/>
    <w:rsid w:val="00534BA2"/>
    <w:rsid w:val="00540D1E"/>
    <w:rsid w:val="0054216C"/>
    <w:rsid w:val="00545801"/>
    <w:rsid w:val="005458CD"/>
    <w:rsid w:val="0054633F"/>
    <w:rsid w:val="00546802"/>
    <w:rsid w:val="00547D84"/>
    <w:rsid w:val="00550FE7"/>
    <w:rsid w:val="0055447B"/>
    <w:rsid w:val="00554F1E"/>
    <w:rsid w:val="005568BF"/>
    <w:rsid w:val="00557C82"/>
    <w:rsid w:val="00562257"/>
    <w:rsid w:val="00570678"/>
    <w:rsid w:val="0057122F"/>
    <w:rsid w:val="00573847"/>
    <w:rsid w:val="00574C0C"/>
    <w:rsid w:val="005807CA"/>
    <w:rsid w:val="005808BB"/>
    <w:rsid w:val="005812BD"/>
    <w:rsid w:val="00582E36"/>
    <w:rsid w:val="00584272"/>
    <w:rsid w:val="0058557E"/>
    <w:rsid w:val="00586969"/>
    <w:rsid w:val="00593665"/>
    <w:rsid w:val="00594E40"/>
    <w:rsid w:val="005950DE"/>
    <w:rsid w:val="005951D4"/>
    <w:rsid w:val="005965C1"/>
    <w:rsid w:val="00597E73"/>
    <w:rsid w:val="005A2047"/>
    <w:rsid w:val="005A36E7"/>
    <w:rsid w:val="005A5D51"/>
    <w:rsid w:val="005A725B"/>
    <w:rsid w:val="005A7C78"/>
    <w:rsid w:val="005B4D09"/>
    <w:rsid w:val="005C2992"/>
    <w:rsid w:val="005C42C0"/>
    <w:rsid w:val="005C4D81"/>
    <w:rsid w:val="005C5A8F"/>
    <w:rsid w:val="005C634F"/>
    <w:rsid w:val="005C7F85"/>
    <w:rsid w:val="005D3695"/>
    <w:rsid w:val="005D3CB3"/>
    <w:rsid w:val="005D50A0"/>
    <w:rsid w:val="005D55E3"/>
    <w:rsid w:val="005D5B98"/>
    <w:rsid w:val="005E1E34"/>
    <w:rsid w:val="005E218C"/>
    <w:rsid w:val="005E33CB"/>
    <w:rsid w:val="005E4B29"/>
    <w:rsid w:val="005E54CD"/>
    <w:rsid w:val="005F0B6E"/>
    <w:rsid w:val="005F2B4C"/>
    <w:rsid w:val="005F3810"/>
    <w:rsid w:val="005F5B41"/>
    <w:rsid w:val="005F6651"/>
    <w:rsid w:val="0060315D"/>
    <w:rsid w:val="006032CE"/>
    <w:rsid w:val="006035D2"/>
    <w:rsid w:val="00604C65"/>
    <w:rsid w:val="006147D3"/>
    <w:rsid w:val="00621A65"/>
    <w:rsid w:val="00622EEE"/>
    <w:rsid w:val="00624D50"/>
    <w:rsid w:val="00625784"/>
    <w:rsid w:val="00630844"/>
    <w:rsid w:val="00633465"/>
    <w:rsid w:val="00635D75"/>
    <w:rsid w:val="006428FD"/>
    <w:rsid w:val="0064327B"/>
    <w:rsid w:val="0064537A"/>
    <w:rsid w:val="00645EF0"/>
    <w:rsid w:val="006518DD"/>
    <w:rsid w:val="006549F6"/>
    <w:rsid w:val="00656FAE"/>
    <w:rsid w:val="006606C5"/>
    <w:rsid w:val="0066175B"/>
    <w:rsid w:val="00663B76"/>
    <w:rsid w:val="00671F0E"/>
    <w:rsid w:val="006725EA"/>
    <w:rsid w:val="0067789C"/>
    <w:rsid w:val="0068041B"/>
    <w:rsid w:val="0068146C"/>
    <w:rsid w:val="00683B33"/>
    <w:rsid w:val="00685067"/>
    <w:rsid w:val="00685668"/>
    <w:rsid w:val="0069269A"/>
    <w:rsid w:val="00692D91"/>
    <w:rsid w:val="006975BB"/>
    <w:rsid w:val="00697FCB"/>
    <w:rsid w:val="006A26B7"/>
    <w:rsid w:val="006A2CD7"/>
    <w:rsid w:val="006A5C2E"/>
    <w:rsid w:val="006A62C6"/>
    <w:rsid w:val="006A7BF6"/>
    <w:rsid w:val="006B19F9"/>
    <w:rsid w:val="006B20A6"/>
    <w:rsid w:val="006B28F2"/>
    <w:rsid w:val="006B405E"/>
    <w:rsid w:val="006B7C78"/>
    <w:rsid w:val="006C0145"/>
    <w:rsid w:val="006C0BCE"/>
    <w:rsid w:val="006C16D9"/>
    <w:rsid w:val="006C1F28"/>
    <w:rsid w:val="006C35C1"/>
    <w:rsid w:val="006C649C"/>
    <w:rsid w:val="006D0194"/>
    <w:rsid w:val="006D298B"/>
    <w:rsid w:val="006E0366"/>
    <w:rsid w:val="006E14E2"/>
    <w:rsid w:val="006E2281"/>
    <w:rsid w:val="006E5E52"/>
    <w:rsid w:val="006E743A"/>
    <w:rsid w:val="006F1AA8"/>
    <w:rsid w:val="006F1F01"/>
    <w:rsid w:val="006F3783"/>
    <w:rsid w:val="006F4C29"/>
    <w:rsid w:val="006F6570"/>
    <w:rsid w:val="006F7594"/>
    <w:rsid w:val="006F7650"/>
    <w:rsid w:val="0070007A"/>
    <w:rsid w:val="00701D00"/>
    <w:rsid w:val="00706810"/>
    <w:rsid w:val="00706E0E"/>
    <w:rsid w:val="00706EAF"/>
    <w:rsid w:val="00710C98"/>
    <w:rsid w:val="00710EDF"/>
    <w:rsid w:val="00713AA0"/>
    <w:rsid w:val="00713D9F"/>
    <w:rsid w:val="00715DF3"/>
    <w:rsid w:val="00716895"/>
    <w:rsid w:val="00716B85"/>
    <w:rsid w:val="00716E69"/>
    <w:rsid w:val="0072134F"/>
    <w:rsid w:val="00730A3F"/>
    <w:rsid w:val="00731A49"/>
    <w:rsid w:val="00732639"/>
    <w:rsid w:val="007330B7"/>
    <w:rsid w:val="007346B7"/>
    <w:rsid w:val="00735291"/>
    <w:rsid w:val="00736D05"/>
    <w:rsid w:val="00736E37"/>
    <w:rsid w:val="00737E7E"/>
    <w:rsid w:val="0074056C"/>
    <w:rsid w:val="007406C2"/>
    <w:rsid w:val="00741D65"/>
    <w:rsid w:val="00741D6F"/>
    <w:rsid w:val="00741DA3"/>
    <w:rsid w:val="0074246D"/>
    <w:rsid w:val="00742E49"/>
    <w:rsid w:val="00745491"/>
    <w:rsid w:val="00752896"/>
    <w:rsid w:val="00753E2A"/>
    <w:rsid w:val="007565A0"/>
    <w:rsid w:val="00760DB7"/>
    <w:rsid w:val="00760EE1"/>
    <w:rsid w:val="00761812"/>
    <w:rsid w:val="007624ED"/>
    <w:rsid w:val="00763E6A"/>
    <w:rsid w:val="00764731"/>
    <w:rsid w:val="00766308"/>
    <w:rsid w:val="007668DC"/>
    <w:rsid w:val="007716DA"/>
    <w:rsid w:val="0077275B"/>
    <w:rsid w:val="0078104A"/>
    <w:rsid w:val="00781094"/>
    <w:rsid w:val="0078177D"/>
    <w:rsid w:val="00781FEA"/>
    <w:rsid w:val="00782D15"/>
    <w:rsid w:val="00784081"/>
    <w:rsid w:val="0078617A"/>
    <w:rsid w:val="0078727C"/>
    <w:rsid w:val="007909A8"/>
    <w:rsid w:val="007911BE"/>
    <w:rsid w:val="007924E6"/>
    <w:rsid w:val="0079445D"/>
    <w:rsid w:val="007A0FF2"/>
    <w:rsid w:val="007A129C"/>
    <w:rsid w:val="007A5F4C"/>
    <w:rsid w:val="007A6F31"/>
    <w:rsid w:val="007C0F62"/>
    <w:rsid w:val="007C238D"/>
    <w:rsid w:val="007C290D"/>
    <w:rsid w:val="007C4D4D"/>
    <w:rsid w:val="007C5C04"/>
    <w:rsid w:val="007D4C61"/>
    <w:rsid w:val="007D6236"/>
    <w:rsid w:val="007D7757"/>
    <w:rsid w:val="007E1E76"/>
    <w:rsid w:val="007E2486"/>
    <w:rsid w:val="007E2C52"/>
    <w:rsid w:val="007E2F5A"/>
    <w:rsid w:val="007E5958"/>
    <w:rsid w:val="007E6C91"/>
    <w:rsid w:val="007F1112"/>
    <w:rsid w:val="007F37F0"/>
    <w:rsid w:val="007F442B"/>
    <w:rsid w:val="007F725E"/>
    <w:rsid w:val="00800BBA"/>
    <w:rsid w:val="00803301"/>
    <w:rsid w:val="00804DF4"/>
    <w:rsid w:val="008067BC"/>
    <w:rsid w:val="00807986"/>
    <w:rsid w:val="00807B5B"/>
    <w:rsid w:val="0081070E"/>
    <w:rsid w:val="008114CB"/>
    <w:rsid w:val="00812214"/>
    <w:rsid w:val="008127FD"/>
    <w:rsid w:val="008147F5"/>
    <w:rsid w:val="008153C2"/>
    <w:rsid w:val="00816878"/>
    <w:rsid w:val="00817B31"/>
    <w:rsid w:val="00822B1B"/>
    <w:rsid w:val="00824B67"/>
    <w:rsid w:val="00827F52"/>
    <w:rsid w:val="0083038A"/>
    <w:rsid w:val="008305E9"/>
    <w:rsid w:val="00831471"/>
    <w:rsid w:val="00831A57"/>
    <w:rsid w:val="0083212C"/>
    <w:rsid w:val="0083547F"/>
    <w:rsid w:val="00836240"/>
    <w:rsid w:val="00844287"/>
    <w:rsid w:val="00844AC9"/>
    <w:rsid w:val="008454F6"/>
    <w:rsid w:val="00851759"/>
    <w:rsid w:val="00853F90"/>
    <w:rsid w:val="008614AF"/>
    <w:rsid w:val="008655CE"/>
    <w:rsid w:val="00866612"/>
    <w:rsid w:val="00866772"/>
    <w:rsid w:val="00867A51"/>
    <w:rsid w:val="0087084E"/>
    <w:rsid w:val="00872DD5"/>
    <w:rsid w:val="00873BA3"/>
    <w:rsid w:val="00875A65"/>
    <w:rsid w:val="008760F0"/>
    <w:rsid w:val="00877C17"/>
    <w:rsid w:val="0088231F"/>
    <w:rsid w:val="00882A97"/>
    <w:rsid w:val="00886865"/>
    <w:rsid w:val="008939CC"/>
    <w:rsid w:val="008A1F92"/>
    <w:rsid w:val="008A5580"/>
    <w:rsid w:val="008A7154"/>
    <w:rsid w:val="008B00E0"/>
    <w:rsid w:val="008B1FD9"/>
    <w:rsid w:val="008B46E6"/>
    <w:rsid w:val="008B4E61"/>
    <w:rsid w:val="008B54FF"/>
    <w:rsid w:val="008B6D40"/>
    <w:rsid w:val="008B7671"/>
    <w:rsid w:val="008C0089"/>
    <w:rsid w:val="008C17BA"/>
    <w:rsid w:val="008C1D8E"/>
    <w:rsid w:val="008C406C"/>
    <w:rsid w:val="008C4DA6"/>
    <w:rsid w:val="008D7671"/>
    <w:rsid w:val="008D7DFA"/>
    <w:rsid w:val="008E5ABE"/>
    <w:rsid w:val="008E5F07"/>
    <w:rsid w:val="008F0F6E"/>
    <w:rsid w:val="008F2AD0"/>
    <w:rsid w:val="008F32F8"/>
    <w:rsid w:val="008F6506"/>
    <w:rsid w:val="00901554"/>
    <w:rsid w:val="00905C2A"/>
    <w:rsid w:val="0090797E"/>
    <w:rsid w:val="00910108"/>
    <w:rsid w:val="009107EF"/>
    <w:rsid w:val="00910ACB"/>
    <w:rsid w:val="00916560"/>
    <w:rsid w:val="00916819"/>
    <w:rsid w:val="009268A4"/>
    <w:rsid w:val="00927BCC"/>
    <w:rsid w:val="009302F5"/>
    <w:rsid w:val="0093165C"/>
    <w:rsid w:val="0093240D"/>
    <w:rsid w:val="009334CD"/>
    <w:rsid w:val="009339E3"/>
    <w:rsid w:val="00937499"/>
    <w:rsid w:val="009404BB"/>
    <w:rsid w:val="009407D5"/>
    <w:rsid w:val="00940FAB"/>
    <w:rsid w:val="00940FBF"/>
    <w:rsid w:val="0094165C"/>
    <w:rsid w:val="009449C4"/>
    <w:rsid w:val="00945ECB"/>
    <w:rsid w:val="00946AB6"/>
    <w:rsid w:val="00947BDB"/>
    <w:rsid w:val="0095195A"/>
    <w:rsid w:val="009521F8"/>
    <w:rsid w:val="00955472"/>
    <w:rsid w:val="00955730"/>
    <w:rsid w:val="00956EC8"/>
    <w:rsid w:val="00962038"/>
    <w:rsid w:val="00962243"/>
    <w:rsid w:val="009622C1"/>
    <w:rsid w:val="00962D5F"/>
    <w:rsid w:val="00963298"/>
    <w:rsid w:val="00965B13"/>
    <w:rsid w:val="0097256F"/>
    <w:rsid w:val="00974E5B"/>
    <w:rsid w:val="00975D22"/>
    <w:rsid w:val="00976EFE"/>
    <w:rsid w:val="00977771"/>
    <w:rsid w:val="00981D6D"/>
    <w:rsid w:val="00985EAD"/>
    <w:rsid w:val="009867BC"/>
    <w:rsid w:val="0099144E"/>
    <w:rsid w:val="009929F6"/>
    <w:rsid w:val="009955BF"/>
    <w:rsid w:val="00995DD9"/>
    <w:rsid w:val="009A0640"/>
    <w:rsid w:val="009A1F30"/>
    <w:rsid w:val="009A2356"/>
    <w:rsid w:val="009A276B"/>
    <w:rsid w:val="009B0216"/>
    <w:rsid w:val="009B1AE6"/>
    <w:rsid w:val="009B75E8"/>
    <w:rsid w:val="009B7F12"/>
    <w:rsid w:val="009C3867"/>
    <w:rsid w:val="009C3DCF"/>
    <w:rsid w:val="009C6DB0"/>
    <w:rsid w:val="009C7FF9"/>
    <w:rsid w:val="009D023A"/>
    <w:rsid w:val="009D2DC6"/>
    <w:rsid w:val="009D2EE2"/>
    <w:rsid w:val="009E63C5"/>
    <w:rsid w:val="009E666E"/>
    <w:rsid w:val="009F3FED"/>
    <w:rsid w:val="009F4F8D"/>
    <w:rsid w:val="009F6A34"/>
    <w:rsid w:val="00A0181B"/>
    <w:rsid w:val="00A02F53"/>
    <w:rsid w:val="00A0397E"/>
    <w:rsid w:val="00A05DE4"/>
    <w:rsid w:val="00A11733"/>
    <w:rsid w:val="00A12A25"/>
    <w:rsid w:val="00A13AA8"/>
    <w:rsid w:val="00A17CE5"/>
    <w:rsid w:val="00A211AC"/>
    <w:rsid w:val="00A22A53"/>
    <w:rsid w:val="00A251D2"/>
    <w:rsid w:val="00A30191"/>
    <w:rsid w:val="00A35193"/>
    <w:rsid w:val="00A35944"/>
    <w:rsid w:val="00A361C5"/>
    <w:rsid w:val="00A367DE"/>
    <w:rsid w:val="00A37994"/>
    <w:rsid w:val="00A40317"/>
    <w:rsid w:val="00A40822"/>
    <w:rsid w:val="00A4340E"/>
    <w:rsid w:val="00A440E4"/>
    <w:rsid w:val="00A50F3A"/>
    <w:rsid w:val="00A62FEB"/>
    <w:rsid w:val="00A64595"/>
    <w:rsid w:val="00A70A29"/>
    <w:rsid w:val="00A745CA"/>
    <w:rsid w:val="00A762B6"/>
    <w:rsid w:val="00A81E93"/>
    <w:rsid w:val="00A82145"/>
    <w:rsid w:val="00A83BE8"/>
    <w:rsid w:val="00A867F2"/>
    <w:rsid w:val="00A928E1"/>
    <w:rsid w:val="00A92A5F"/>
    <w:rsid w:val="00A93566"/>
    <w:rsid w:val="00A975B5"/>
    <w:rsid w:val="00A9777B"/>
    <w:rsid w:val="00A97933"/>
    <w:rsid w:val="00AA2849"/>
    <w:rsid w:val="00AA29C7"/>
    <w:rsid w:val="00AA781A"/>
    <w:rsid w:val="00AB0B45"/>
    <w:rsid w:val="00AB7714"/>
    <w:rsid w:val="00AC0163"/>
    <w:rsid w:val="00AC35C6"/>
    <w:rsid w:val="00AC39D8"/>
    <w:rsid w:val="00AC3D73"/>
    <w:rsid w:val="00AC58D6"/>
    <w:rsid w:val="00AC6E0C"/>
    <w:rsid w:val="00AC7792"/>
    <w:rsid w:val="00AD012E"/>
    <w:rsid w:val="00AD17CF"/>
    <w:rsid w:val="00AD2716"/>
    <w:rsid w:val="00AD2E76"/>
    <w:rsid w:val="00AD2F0E"/>
    <w:rsid w:val="00AD49F5"/>
    <w:rsid w:val="00AD73F3"/>
    <w:rsid w:val="00AE0205"/>
    <w:rsid w:val="00AE0E5C"/>
    <w:rsid w:val="00AE1003"/>
    <w:rsid w:val="00AE100A"/>
    <w:rsid w:val="00AE590A"/>
    <w:rsid w:val="00AE5E94"/>
    <w:rsid w:val="00AE75AB"/>
    <w:rsid w:val="00AF0C23"/>
    <w:rsid w:val="00AF1F43"/>
    <w:rsid w:val="00AF22FD"/>
    <w:rsid w:val="00AF657A"/>
    <w:rsid w:val="00AF6896"/>
    <w:rsid w:val="00AF77A8"/>
    <w:rsid w:val="00B0191A"/>
    <w:rsid w:val="00B06F47"/>
    <w:rsid w:val="00B072F5"/>
    <w:rsid w:val="00B105CD"/>
    <w:rsid w:val="00B1580E"/>
    <w:rsid w:val="00B21C18"/>
    <w:rsid w:val="00B21D2D"/>
    <w:rsid w:val="00B2498D"/>
    <w:rsid w:val="00B25E2F"/>
    <w:rsid w:val="00B25F56"/>
    <w:rsid w:val="00B2759E"/>
    <w:rsid w:val="00B27E20"/>
    <w:rsid w:val="00B32105"/>
    <w:rsid w:val="00B32AD6"/>
    <w:rsid w:val="00B3750C"/>
    <w:rsid w:val="00B37572"/>
    <w:rsid w:val="00B41D3A"/>
    <w:rsid w:val="00B4266F"/>
    <w:rsid w:val="00B439E0"/>
    <w:rsid w:val="00B443D3"/>
    <w:rsid w:val="00B46FBC"/>
    <w:rsid w:val="00B47EB7"/>
    <w:rsid w:val="00B54308"/>
    <w:rsid w:val="00B61A23"/>
    <w:rsid w:val="00B62550"/>
    <w:rsid w:val="00B63871"/>
    <w:rsid w:val="00B64461"/>
    <w:rsid w:val="00B6597B"/>
    <w:rsid w:val="00B673A2"/>
    <w:rsid w:val="00B67722"/>
    <w:rsid w:val="00B705E7"/>
    <w:rsid w:val="00B7065C"/>
    <w:rsid w:val="00B708C2"/>
    <w:rsid w:val="00B72838"/>
    <w:rsid w:val="00B736B3"/>
    <w:rsid w:val="00B759CA"/>
    <w:rsid w:val="00B76EC7"/>
    <w:rsid w:val="00B77110"/>
    <w:rsid w:val="00B82698"/>
    <w:rsid w:val="00B83CA3"/>
    <w:rsid w:val="00B849E6"/>
    <w:rsid w:val="00B853C1"/>
    <w:rsid w:val="00B86163"/>
    <w:rsid w:val="00B9407C"/>
    <w:rsid w:val="00B949AF"/>
    <w:rsid w:val="00B94CF2"/>
    <w:rsid w:val="00B96D4B"/>
    <w:rsid w:val="00B973BB"/>
    <w:rsid w:val="00BA59BC"/>
    <w:rsid w:val="00BB0C65"/>
    <w:rsid w:val="00BB5792"/>
    <w:rsid w:val="00BB5D8C"/>
    <w:rsid w:val="00BB6D6B"/>
    <w:rsid w:val="00BC0978"/>
    <w:rsid w:val="00BC5E1C"/>
    <w:rsid w:val="00BD1DA6"/>
    <w:rsid w:val="00BD226E"/>
    <w:rsid w:val="00BE08DF"/>
    <w:rsid w:val="00BE2BAD"/>
    <w:rsid w:val="00BE3B89"/>
    <w:rsid w:val="00BE4692"/>
    <w:rsid w:val="00BE5CF0"/>
    <w:rsid w:val="00BE7495"/>
    <w:rsid w:val="00BE769D"/>
    <w:rsid w:val="00BE7807"/>
    <w:rsid w:val="00BF1B48"/>
    <w:rsid w:val="00BF270C"/>
    <w:rsid w:val="00BF332A"/>
    <w:rsid w:val="00BF463A"/>
    <w:rsid w:val="00BF6224"/>
    <w:rsid w:val="00BF6604"/>
    <w:rsid w:val="00C00D48"/>
    <w:rsid w:val="00C022E2"/>
    <w:rsid w:val="00C0435F"/>
    <w:rsid w:val="00C0459B"/>
    <w:rsid w:val="00C06426"/>
    <w:rsid w:val="00C110C1"/>
    <w:rsid w:val="00C11223"/>
    <w:rsid w:val="00C12C46"/>
    <w:rsid w:val="00C22298"/>
    <w:rsid w:val="00C24D66"/>
    <w:rsid w:val="00C25FD4"/>
    <w:rsid w:val="00C2687D"/>
    <w:rsid w:val="00C327BA"/>
    <w:rsid w:val="00C32E21"/>
    <w:rsid w:val="00C36965"/>
    <w:rsid w:val="00C42B3E"/>
    <w:rsid w:val="00C44EAA"/>
    <w:rsid w:val="00C461F1"/>
    <w:rsid w:val="00C4775F"/>
    <w:rsid w:val="00C51066"/>
    <w:rsid w:val="00C56AF4"/>
    <w:rsid w:val="00C56EAB"/>
    <w:rsid w:val="00C603F3"/>
    <w:rsid w:val="00C655D4"/>
    <w:rsid w:val="00C65A41"/>
    <w:rsid w:val="00C74F38"/>
    <w:rsid w:val="00C756C4"/>
    <w:rsid w:val="00C75E6D"/>
    <w:rsid w:val="00C81F95"/>
    <w:rsid w:val="00C82C23"/>
    <w:rsid w:val="00C8468A"/>
    <w:rsid w:val="00C850AC"/>
    <w:rsid w:val="00C85C82"/>
    <w:rsid w:val="00C90004"/>
    <w:rsid w:val="00C9081C"/>
    <w:rsid w:val="00C91990"/>
    <w:rsid w:val="00C92166"/>
    <w:rsid w:val="00C9395F"/>
    <w:rsid w:val="00C955EF"/>
    <w:rsid w:val="00C96F9C"/>
    <w:rsid w:val="00CA06E9"/>
    <w:rsid w:val="00CA2FFB"/>
    <w:rsid w:val="00CA3350"/>
    <w:rsid w:val="00CA3F25"/>
    <w:rsid w:val="00CA4F27"/>
    <w:rsid w:val="00CA70C3"/>
    <w:rsid w:val="00CB6676"/>
    <w:rsid w:val="00CC060D"/>
    <w:rsid w:val="00CC1B12"/>
    <w:rsid w:val="00CC1D81"/>
    <w:rsid w:val="00CC247D"/>
    <w:rsid w:val="00CC748C"/>
    <w:rsid w:val="00CC79D5"/>
    <w:rsid w:val="00CC7C35"/>
    <w:rsid w:val="00CD4B46"/>
    <w:rsid w:val="00CE572F"/>
    <w:rsid w:val="00CE719B"/>
    <w:rsid w:val="00CE7260"/>
    <w:rsid w:val="00CF1130"/>
    <w:rsid w:val="00CF1E40"/>
    <w:rsid w:val="00CF6DC4"/>
    <w:rsid w:val="00D042DA"/>
    <w:rsid w:val="00D0597C"/>
    <w:rsid w:val="00D075ED"/>
    <w:rsid w:val="00D125F7"/>
    <w:rsid w:val="00D16126"/>
    <w:rsid w:val="00D221B8"/>
    <w:rsid w:val="00D30607"/>
    <w:rsid w:val="00D366A8"/>
    <w:rsid w:val="00D41F4A"/>
    <w:rsid w:val="00D42A56"/>
    <w:rsid w:val="00D438E5"/>
    <w:rsid w:val="00D47B0F"/>
    <w:rsid w:val="00D508A1"/>
    <w:rsid w:val="00D5324D"/>
    <w:rsid w:val="00D53777"/>
    <w:rsid w:val="00D54CFD"/>
    <w:rsid w:val="00D5648E"/>
    <w:rsid w:val="00D56D40"/>
    <w:rsid w:val="00D56E90"/>
    <w:rsid w:val="00D606A8"/>
    <w:rsid w:val="00D61E75"/>
    <w:rsid w:val="00D646A7"/>
    <w:rsid w:val="00D64B64"/>
    <w:rsid w:val="00D71C4A"/>
    <w:rsid w:val="00D7540C"/>
    <w:rsid w:val="00D75843"/>
    <w:rsid w:val="00D76D17"/>
    <w:rsid w:val="00D7735D"/>
    <w:rsid w:val="00D77CE5"/>
    <w:rsid w:val="00D77D7A"/>
    <w:rsid w:val="00D77D90"/>
    <w:rsid w:val="00D77DF4"/>
    <w:rsid w:val="00D801FD"/>
    <w:rsid w:val="00D80AFD"/>
    <w:rsid w:val="00D85010"/>
    <w:rsid w:val="00D85540"/>
    <w:rsid w:val="00D9038D"/>
    <w:rsid w:val="00D90C4B"/>
    <w:rsid w:val="00D914C7"/>
    <w:rsid w:val="00D95FBA"/>
    <w:rsid w:val="00DB0A4B"/>
    <w:rsid w:val="00DB2B98"/>
    <w:rsid w:val="00DC0B52"/>
    <w:rsid w:val="00DC0C4C"/>
    <w:rsid w:val="00DC3C4D"/>
    <w:rsid w:val="00DC43C7"/>
    <w:rsid w:val="00DC4790"/>
    <w:rsid w:val="00DD0C5F"/>
    <w:rsid w:val="00DD1439"/>
    <w:rsid w:val="00DD2D2B"/>
    <w:rsid w:val="00DD3270"/>
    <w:rsid w:val="00DD3F2A"/>
    <w:rsid w:val="00DD4B0A"/>
    <w:rsid w:val="00DD523B"/>
    <w:rsid w:val="00DE3755"/>
    <w:rsid w:val="00DE3C8B"/>
    <w:rsid w:val="00DE7559"/>
    <w:rsid w:val="00DF3933"/>
    <w:rsid w:val="00DF66E4"/>
    <w:rsid w:val="00DF73EB"/>
    <w:rsid w:val="00E05A06"/>
    <w:rsid w:val="00E05E16"/>
    <w:rsid w:val="00E06610"/>
    <w:rsid w:val="00E15CFF"/>
    <w:rsid w:val="00E17ABB"/>
    <w:rsid w:val="00E20467"/>
    <w:rsid w:val="00E22472"/>
    <w:rsid w:val="00E2277F"/>
    <w:rsid w:val="00E25211"/>
    <w:rsid w:val="00E25E19"/>
    <w:rsid w:val="00E25FDA"/>
    <w:rsid w:val="00E317FB"/>
    <w:rsid w:val="00E34850"/>
    <w:rsid w:val="00E35A1F"/>
    <w:rsid w:val="00E37143"/>
    <w:rsid w:val="00E37FD6"/>
    <w:rsid w:val="00E417E4"/>
    <w:rsid w:val="00E44A36"/>
    <w:rsid w:val="00E45CC3"/>
    <w:rsid w:val="00E47B86"/>
    <w:rsid w:val="00E47CA7"/>
    <w:rsid w:val="00E5015A"/>
    <w:rsid w:val="00E5052D"/>
    <w:rsid w:val="00E50AB5"/>
    <w:rsid w:val="00E51620"/>
    <w:rsid w:val="00E51782"/>
    <w:rsid w:val="00E52DF4"/>
    <w:rsid w:val="00E538E2"/>
    <w:rsid w:val="00E53ACF"/>
    <w:rsid w:val="00E62C3C"/>
    <w:rsid w:val="00E638E7"/>
    <w:rsid w:val="00E64ED6"/>
    <w:rsid w:val="00E66259"/>
    <w:rsid w:val="00E66C11"/>
    <w:rsid w:val="00E717DA"/>
    <w:rsid w:val="00E73BAC"/>
    <w:rsid w:val="00E743D4"/>
    <w:rsid w:val="00E745AF"/>
    <w:rsid w:val="00E769C0"/>
    <w:rsid w:val="00E83FE2"/>
    <w:rsid w:val="00E84A89"/>
    <w:rsid w:val="00E87884"/>
    <w:rsid w:val="00E87FAE"/>
    <w:rsid w:val="00E90A1A"/>
    <w:rsid w:val="00E93280"/>
    <w:rsid w:val="00E95796"/>
    <w:rsid w:val="00E95A9B"/>
    <w:rsid w:val="00E96E3C"/>
    <w:rsid w:val="00EA037F"/>
    <w:rsid w:val="00EA0718"/>
    <w:rsid w:val="00EA0C1D"/>
    <w:rsid w:val="00EA1C22"/>
    <w:rsid w:val="00EA5792"/>
    <w:rsid w:val="00EA6E15"/>
    <w:rsid w:val="00EB2C28"/>
    <w:rsid w:val="00EB454D"/>
    <w:rsid w:val="00EB508B"/>
    <w:rsid w:val="00EB5F63"/>
    <w:rsid w:val="00EC49FC"/>
    <w:rsid w:val="00EC7537"/>
    <w:rsid w:val="00ED1B29"/>
    <w:rsid w:val="00ED24D7"/>
    <w:rsid w:val="00ED4C52"/>
    <w:rsid w:val="00EE02BE"/>
    <w:rsid w:val="00EE1B01"/>
    <w:rsid w:val="00EE1D6D"/>
    <w:rsid w:val="00EE390C"/>
    <w:rsid w:val="00EE4E0E"/>
    <w:rsid w:val="00EE55FB"/>
    <w:rsid w:val="00EE787C"/>
    <w:rsid w:val="00EF08D2"/>
    <w:rsid w:val="00EF0A0C"/>
    <w:rsid w:val="00EF28F5"/>
    <w:rsid w:val="00EF4A3C"/>
    <w:rsid w:val="00EF7E06"/>
    <w:rsid w:val="00F0390B"/>
    <w:rsid w:val="00F03E75"/>
    <w:rsid w:val="00F104D4"/>
    <w:rsid w:val="00F1088D"/>
    <w:rsid w:val="00F10B56"/>
    <w:rsid w:val="00F14E09"/>
    <w:rsid w:val="00F16A49"/>
    <w:rsid w:val="00F17465"/>
    <w:rsid w:val="00F17E2D"/>
    <w:rsid w:val="00F22460"/>
    <w:rsid w:val="00F22AF7"/>
    <w:rsid w:val="00F23CF7"/>
    <w:rsid w:val="00F257A3"/>
    <w:rsid w:val="00F266A0"/>
    <w:rsid w:val="00F27A33"/>
    <w:rsid w:val="00F32E3F"/>
    <w:rsid w:val="00F34C71"/>
    <w:rsid w:val="00F34FCA"/>
    <w:rsid w:val="00F36A6D"/>
    <w:rsid w:val="00F36D0D"/>
    <w:rsid w:val="00F40BE3"/>
    <w:rsid w:val="00F416F3"/>
    <w:rsid w:val="00F4261B"/>
    <w:rsid w:val="00F45662"/>
    <w:rsid w:val="00F46E4C"/>
    <w:rsid w:val="00F47394"/>
    <w:rsid w:val="00F47641"/>
    <w:rsid w:val="00F518E2"/>
    <w:rsid w:val="00F5372C"/>
    <w:rsid w:val="00F54E3F"/>
    <w:rsid w:val="00F5676E"/>
    <w:rsid w:val="00F56A0F"/>
    <w:rsid w:val="00F6169F"/>
    <w:rsid w:val="00F636BD"/>
    <w:rsid w:val="00F66D5E"/>
    <w:rsid w:val="00F7023C"/>
    <w:rsid w:val="00F7304D"/>
    <w:rsid w:val="00F77B7A"/>
    <w:rsid w:val="00F80F2D"/>
    <w:rsid w:val="00F81D69"/>
    <w:rsid w:val="00F84D41"/>
    <w:rsid w:val="00F8584F"/>
    <w:rsid w:val="00F86D1D"/>
    <w:rsid w:val="00F90673"/>
    <w:rsid w:val="00F92E26"/>
    <w:rsid w:val="00F933A7"/>
    <w:rsid w:val="00F97274"/>
    <w:rsid w:val="00F97A59"/>
    <w:rsid w:val="00F97A9A"/>
    <w:rsid w:val="00FA1A4A"/>
    <w:rsid w:val="00FA2281"/>
    <w:rsid w:val="00FA4095"/>
    <w:rsid w:val="00FA728D"/>
    <w:rsid w:val="00FA7D57"/>
    <w:rsid w:val="00FB15CE"/>
    <w:rsid w:val="00FB2C8C"/>
    <w:rsid w:val="00FB4780"/>
    <w:rsid w:val="00FB5F64"/>
    <w:rsid w:val="00FC0208"/>
    <w:rsid w:val="00FC778D"/>
    <w:rsid w:val="00FD0550"/>
    <w:rsid w:val="00FE039B"/>
    <w:rsid w:val="00FE0811"/>
    <w:rsid w:val="00FE2BED"/>
    <w:rsid w:val="00FE2FC7"/>
    <w:rsid w:val="00FE30B4"/>
    <w:rsid w:val="00FE4A4D"/>
    <w:rsid w:val="00FE7CED"/>
    <w:rsid w:val="00FF1007"/>
    <w:rsid w:val="00FF38F3"/>
    <w:rsid w:val="00FF6268"/>
    <w:rsid w:val="00FF6A8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0E7C8E"/>
  <w15:docId w15:val="{AAF8E6E4-44C6-044F-B515-FB947120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E0C"/>
    <w:pPr>
      <w:tabs>
        <w:tab w:val="center" w:pos="4153"/>
        <w:tab w:val="right" w:pos="8306"/>
      </w:tabs>
    </w:pPr>
  </w:style>
  <w:style w:type="character" w:customStyle="1" w:styleId="HeaderChar">
    <w:name w:val="Header Char"/>
    <w:basedOn w:val="DefaultParagraphFont"/>
    <w:link w:val="Header"/>
    <w:uiPriority w:val="99"/>
    <w:rsid w:val="00AC6E0C"/>
  </w:style>
  <w:style w:type="character" w:styleId="PageNumber">
    <w:name w:val="page number"/>
    <w:basedOn w:val="DefaultParagraphFont"/>
    <w:uiPriority w:val="99"/>
    <w:semiHidden/>
    <w:unhideWhenUsed/>
    <w:rsid w:val="00AC6E0C"/>
  </w:style>
  <w:style w:type="paragraph" w:styleId="ListParagraph">
    <w:name w:val="List Paragraph"/>
    <w:basedOn w:val="Normal"/>
    <w:uiPriority w:val="34"/>
    <w:qFormat/>
    <w:rsid w:val="00E745AF"/>
    <w:pPr>
      <w:ind w:left="720"/>
      <w:contextualSpacing/>
    </w:pPr>
  </w:style>
  <w:style w:type="character" w:styleId="CommentReference">
    <w:name w:val="annotation reference"/>
    <w:basedOn w:val="DefaultParagraphFont"/>
    <w:uiPriority w:val="99"/>
    <w:semiHidden/>
    <w:unhideWhenUsed/>
    <w:rsid w:val="005E33CB"/>
    <w:rPr>
      <w:sz w:val="16"/>
      <w:szCs w:val="16"/>
    </w:rPr>
  </w:style>
  <w:style w:type="paragraph" w:styleId="CommentText">
    <w:name w:val="annotation text"/>
    <w:basedOn w:val="Normal"/>
    <w:link w:val="CommentTextChar"/>
    <w:uiPriority w:val="99"/>
    <w:unhideWhenUsed/>
    <w:rsid w:val="005E33CB"/>
    <w:rPr>
      <w:sz w:val="20"/>
      <w:szCs w:val="20"/>
    </w:rPr>
  </w:style>
  <w:style w:type="character" w:customStyle="1" w:styleId="CommentTextChar">
    <w:name w:val="Comment Text Char"/>
    <w:basedOn w:val="DefaultParagraphFont"/>
    <w:link w:val="CommentText"/>
    <w:uiPriority w:val="99"/>
    <w:rsid w:val="005E33CB"/>
    <w:rPr>
      <w:sz w:val="20"/>
      <w:szCs w:val="20"/>
    </w:rPr>
  </w:style>
  <w:style w:type="paragraph" w:styleId="BalloonText">
    <w:name w:val="Balloon Text"/>
    <w:basedOn w:val="Normal"/>
    <w:link w:val="BalloonTextChar"/>
    <w:uiPriority w:val="99"/>
    <w:semiHidden/>
    <w:unhideWhenUsed/>
    <w:rsid w:val="005E33C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33CB"/>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B853C1"/>
    <w:rPr>
      <w:b/>
      <w:bCs/>
    </w:rPr>
  </w:style>
  <w:style w:type="character" w:customStyle="1" w:styleId="CommentSubjectChar">
    <w:name w:val="Comment Subject Char"/>
    <w:basedOn w:val="CommentTextChar"/>
    <w:link w:val="CommentSubject"/>
    <w:uiPriority w:val="99"/>
    <w:semiHidden/>
    <w:rsid w:val="00B853C1"/>
    <w:rPr>
      <w:b/>
      <w:bCs/>
      <w:sz w:val="20"/>
      <w:szCs w:val="20"/>
    </w:rPr>
  </w:style>
  <w:style w:type="paragraph" w:styleId="FootnoteText">
    <w:name w:val="footnote text"/>
    <w:basedOn w:val="Normal"/>
    <w:link w:val="FootnoteTextChar"/>
    <w:uiPriority w:val="99"/>
    <w:semiHidden/>
    <w:unhideWhenUsed/>
    <w:rsid w:val="009C3867"/>
    <w:rPr>
      <w:sz w:val="20"/>
      <w:szCs w:val="20"/>
    </w:rPr>
  </w:style>
  <w:style w:type="character" w:customStyle="1" w:styleId="FootnoteTextChar">
    <w:name w:val="Footnote Text Char"/>
    <w:basedOn w:val="DefaultParagraphFont"/>
    <w:link w:val="FootnoteText"/>
    <w:uiPriority w:val="99"/>
    <w:semiHidden/>
    <w:rsid w:val="009C3867"/>
    <w:rPr>
      <w:sz w:val="20"/>
      <w:szCs w:val="20"/>
    </w:rPr>
  </w:style>
  <w:style w:type="character" w:styleId="FootnoteReference">
    <w:name w:val="footnote reference"/>
    <w:basedOn w:val="DefaultParagraphFont"/>
    <w:uiPriority w:val="99"/>
    <w:semiHidden/>
    <w:unhideWhenUsed/>
    <w:rsid w:val="009C3867"/>
    <w:rPr>
      <w:vertAlign w:val="superscript"/>
    </w:rPr>
  </w:style>
  <w:style w:type="paragraph" w:styleId="Revision">
    <w:name w:val="Revision"/>
    <w:hidden/>
    <w:uiPriority w:val="99"/>
    <w:semiHidden/>
    <w:rsid w:val="009C3867"/>
  </w:style>
  <w:style w:type="table" w:styleId="TableGrid">
    <w:name w:val="Table Grid"/>
    <w:basedOn w:val="TableNormal"/>
    <w:uiPriority w:val="59"/>
    <w:rsid w:val="00791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D3CB2"/>
    <w:pPr>
      <w:tabs>
        <w:tab w:val="center" w:pos="4680"/>
        <w:tab w:val="right" w:pos="9360"/>
      </w:tabs>
    </w:pPr>
  </w:style>
  <w:style w:type="character" w:customStyle="1" w:styleId="FooterChar">
    <w:name w:val="Footer Char"/>
    <w:basedOn w:val="DefaultParagraphFont"/>
    <w:link w:val="Footer"/>
    <w:uiPriority w:val="99"/>
    <w:rsid w:val="003D3CB2"/>
  </w:style>
  <w:style w:type="character" w:customStyle="1" w:styleId="apple-converted-space">
    <w:name w:val="apple-converted-space"/>
    <w:basedOn w:val="DefaultParagraphFont"/>
    <w:rsid w:val="00BE2BAD"/>
  </w:style>
  <w:style w:type="character" w:customStyle="1" w:styleId="wzbaktiv-autor">
    <w:name w:val="wzbaktiv-autor"/>
    <w:basedOn w:val="DefaultParagraphFont"/>
    <w:rsid w:val="00BE2BAD"/>
  </w:style>
  <w:style w:type="paragraph" w:styleId="NormalWeb">
    <w:name w:val="Normal (Web)"/>
    <w:basedOn w:val="Normal"/>
    <w:uiPriority w:val="99"/>
    <w:semiHidden/>
    <w:unhideWhenUsed/>
    <w:rsid w:val="00AC58D6"/>
    <w:pPr>
      <w:spacing w:before="100" w:beforeAutospacing="1" w:after="100" w:afterAutospacing="1"/>
    </w:pPr>
    <w:rPr>
      <w:rFonts w:ascii="Times New Roman" w:eastAsia="Times New Roman"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537894">
      <w:bodyDiv w:val="1"/>
      <w:marLeft w:val="0"/>
      <w:marRight w:val="0"/>
      <w:marTop w:val="0"/>
      <w:marBottom w:val="0"/>
      <w:divBdr>
        <w:top w:val="none" w:sz="0" w:space="0" w:color="auto"/>
        <w:left w:val="none" w:sz="0" w:space="0" w:color="auto"/>
        <w:bottom w:val="none" w:sz="0" w:space="0" w:color="auto"/>
        <w:right w:val="none" w:sz="0" w:space="0" w:color="auto"/>
      </w:divBdr>
      <w:divsChild>
        <w:div w:id="1519276437">
          <w:marLeft w:val="0"/>
          <w:marRight w:val="0"/>
          <w:marTop w:val="0"/>
          <w:marBottom w:val="0"/>
          <w:divBdr>
            <w:top w:val="none" w:sz="0" w:space="0" w:color="auto"/>
            <w:left w:val="none" w:sz="0" w:space="0" w:color="auto"/>
            <w:bottom w:val="none" w:sz="0" w:space="0" w:color="auto"/>
            <w:right w:val="none" w:sz="0" w:space="0" w:color="auto"/>
          </w:divBdr>
        </w:div>
        <w:div w:id="1483158652">
          <w:marLeft w:val="0"/>
          <w:marRight w:val="0"/>
          <w:marTop w:val="0"/>
          <w:marBottom w:val="0"/>
          <w:divBdr>
            <w:top w:val="none" w:sz="0" w:space="0" w:color="auto"/>
            <w:left w:val="none" w:sz="0" w:space="0" w:color="auto"/>
            <w:bottom w:val="none" w:sz="0" w:space="0" w:color="auto"/>
            <w:right w:val="none" w:sz="0" w:space="0" w:color="auto"/>
          </w:divBdr>
        </w:div>
        <w:div w:id="31610784">
          <w:marLeft w:val="0"/>
          <w:marRight w:val="0"/>
          <w:marTop w:val="0"/>
          <w:marBottom w:val="0"/>
          <w:divBdr>
            <w:top w:val="none" w:sz="0" w:space="0" w:color="auto"/>
            <w:left w:val="none" w:sz="0" w:space="0" w:color="auto"/>
            <w:bottom w:val="none" w:sz="0" w:space="0" w:color="auto"/>
            <w:right w:val="none" w:sz="0" w:space="0" w:color="auto"/>
          </w:divBdr>
        </w:div>
        <w:div w:id="639530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089B4-6AAF-3E4A-A64B-4FE0E192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8161</Words>
  <Characters>46518</Characters>
  <Application>Microsoft Office Word</Application>
  <DocSecurity>0</DocSecurity>
  <Lines>387</Lines>
  <Paragraphs>109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Noël Alain</dc:creator>
  <cp:keywords/>
  <dc:description/>
  <cp:lastModifiedBy>Olivier Jacques</cp:lastModifiedBy>
  <cp:revision>2</cp:revision>
  <dcterms:created xsi:type="dcterms:W3CDTF">2019-12-27T22:06:00Z</dcterms:created>
  <dcterms:modified xsi:type="dcterms:W3CDTF">2019-12-27T22:06:00Z</dcterms:modified>
</cp:coreProperties>
</file>