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A232" w14:textId="77777777" w:rsidR="002466C2" w:rsidRDefault="002466C2" w:rsidP="00E21C2A">
      <w:pPr>
        <w:spacing w:line="480" w:lineRule="auto"/>
        <w:jc w:val="both"/>
        <w:rPr>
          <w:b/>
          <w:bCs/>
          <w:lang w:val="en-US"/>
        </w:rPr>
      </w:pPr>
    </w:p>
    <w:p w14:paraId="7E0ED9DC" w14:textId="77777777" w:rsidR="00DC2F54" w:rsidRPr="00D55DA8" w:rsidRDefault="00E70714" w:rsidP="00E21C2A">
      <w:pPr>
        <w:spacing w:line="480" w:lineRule="auto"/>
        <w:jc w:val="center"/>
        <w:rPr>
          <w:b/>
          <w:bCs/>
          <w:lang w:val="en-US"/>
        </w:rPr>
      </w:pPr>
      <w:r w:rsidRPr="00D55DA8">
        <w:rPr>
          <w:b/>
          <w:bCs/>
          <w:lang w:val="en-US"/>
        </w:rPr>
        <w:t>Deficit or austerity bias?</w:t>
      </w:r>
      <w:r w:rsidR="00DC2F54" w:rsidRPr="00D55DA8">
        <w:rPr>
          <w:b/>
          <w:bCs/>
          <w:lang w:val="en-US"/>
        </w:rPr>
        <w:t xml:space="preserve"> </w:t>
      </w:r>
    </w:p>
    <w:p w14:paraId="2F1EA82C" w14:textId="44EAC831" w:rsidR="00244AF5" w:rsidRPr="00D55DA8" w:rsidRDefault="00DC2F54" w:rsidP="00E21C2A">
      <w:pPr>
        <w:spacing w:line="480" w:lineRule="auto"/>
        <w:jc w:val="center"/>
        <w:rPr>
          <w:b/>
          <w:bCs/>
          <w:lang w:val="en-US"/>
        </w:rPr>
      </w:pPr>
      <w:r w:rsidRPr="00D55DA8">
        <w:rPr>
          <w:b/>
          <w:bCs/>
          <w:lang w:val="en-US"/>
        </w:rPr>
        <w:t>The changing nature of</w:t>
      </w:r>
      <w:r w:rsidR="00E70714" w:rsidRPr="00D55DA8">
        <w:rPr>
          <w:b/>
          <w:bCs/>
          <w:lang w:val="en-US"/>
        </w:rPr>
        <w:t xml:space="preserve"> Canadians</w:t>
      </w:r>
      <w:r w:rsidRPr="00D55DA8">
        <w:rPr>
          <w:b/>
          <w:bCs/>
          <w:lang w:val="en-US"/>
        </w:rPr>
        <w:t>’</w:t>
      </w:r>
      <w:r w:rsidR="00E70714" w:rsidRPr="00D55DA8">
        <w:rPr>
          <w:b/>
          <w:bCs/>
          <w:lang w:val="en-US"/>
        </w:rPr>
        <w:t xml:space="preserve"> </w:t>
      </w:r>
      <w:r w:rsidRPr="00D55DA8">
        <w:rPr>
          <w:b/>
          <w:bCs/>
          <w:lang w:val="en-US"/>
        </w:rPr>
        <w:t>opinion of</w:t>
      </w:r>
      <w:r w:rsidR="00E70714" w:rsidRPr="00D55DA8">
        <w:rPr>
          <w:b/>
          <w:bCs/>
          <w:lang w:val="en-US"/>
        </w:rPr>
        <w:t xml:space="preserve"> </w:t>
      </w:r>
      <w:r w:rsidRPr="00D55DA8">
        <w:rPr>
          <w:b/>
          <w:bCs/>
          <w:lang w:val="en-US"/>
        </w:rPr>
        <w:t>fiscal policies</w:t>
      </w:r>
    </w:p>
    <w:p w14:paraId="7FB1CF82" w14:textId="0CA2BAB0" w:rsidR="00611D9E" w:rsidRPr="00D55DA8" w:rsidRDefault="00611D9E" w:rsidP="00E21C2A">
      <w:pPr>
        <w:spacing w:line="480" w:lineRule="auto"/>
        <w:jc w:val="both"/>
        <w:rPr>
          <w:lang w:val="en-US"/>
        </w:rPr>
      </w:pPr>
    </w:p>
    <w:p w14:paraId="1E0ED5B0" w14:textId="77777777" w:rsidR="00611D9E" w:rsidRPr="00D55DA8" w:rsidRDefault="00611D9E" w:rsidP="00E21C2A">
      <w:pPr>
        <w:spacing w:line="480" w:lineRule="auto"/>
        <w:jc w:val="both"/>
        <w:rPr>
          <w:lang w:val="en-US"/>
        </w:rPr>
      </w:pPr>
    </w:p>
    <w:p w14:paraId="3F391F20" w14:textId="1303FB41" w:rsidR="00611D9E" w:rsidRPr="00D55DA8" w:rsidRDefault="00611D9E" w:rsidP="00E21C2A">
      <w:pPr>
        <w:spacing w:line="480" w:lineRule="auto"/>
        <w:jc w:val="both"/>
        <w:rPr>
          <w:b/>
          <w:bCs/>
          <w:lang w:val="en-US"/>
        </w:rPr>
      </w:pPr>
      <w:r w:rsidRPr="00D55DA8">
        <w:rPr>
          <w:b/>
          <w:bCs/>
          <w:lang w:val="en-US"/>
        </w:rPr>
        <w:t>Abstract</w:t>
      </w:r>
      <w:r w:rsidR="00241DB6" w:rsidRPr="00D55DA8">
        <w:rPr>
          <w:b/>
          <w:bCs/>
          <w:lang w:val="en-US"/>
        </w:rPr>
        <w:t>.</w:t>
      </w:r>
    </w:p>
    <w:p w14:paraId="72658377" w14:textId="01174E64" w:rsidR="00611D9E" w:rsidRPr="00D55DA8" w:rsidRDefault="00911B55" w:rsidP="00E21C2A">
      <w:pPr>
        <w:spacing w:line="480" w:lineRule="auto"/>
        <w:jc w:val="both"/>
        <w:rPr>
          <w:lang w:val="en-US"/>
        </w:rPr>
      </w:pPr>
      <w:r w:rsidRPr="00D55DA8">
        <w:rPr>
          <w:lang w:val="en-US"/>
        </w:rPr>
        <w:t>P</w:t>
      </w:r>
      <w:r w:rsidR="00241DB6" w:rsidRPr="00D55DA8">
        <w:rPr>
          <w:lang w:val="en-US"/>
        </w:rPr>
        <w:t xml:space="preserve">ublic choice </w:t>
      </w:r>
      <w:r w:rsidR="006C794A" w:rsidRPr="00D55DA8">
        <w:rPr>
          <w:lang w:val="en-US"/>
        </w:rPr>
        <w:t xml:space="preserve">theory </w:t>
      </w:r>
      <w:r w:rsidR="00241DB6" w:rsidRPr="00D55DA8">
        <w:rPr>
          <w:lang w:val="en-US"/>
        </w:rPr>
        <w:t>suggest</w:t>
      </w:r>
      <w:r w:rsidR="006C794A" w:rsidRPr="00D55DA8">
        <w:rPr>
          <w:lang w:val="en-US"/>
        </w:rPr>
        <w:t>s</w:t>
      </w:r>
      <w:r w:rsidR="00241DB6" w:rsidRPr="00D55DA8">
        <w:rPr>
          <w:lang w:val="en-US"/>
        </w:rPr>
        <w:t xml:space="preserve"> that citizens have a “deficit bias</w:t>
      </w:r>
      <w:r w:rsidRPr="00D55DA8">
        <w:rPr>
          <w:lang w:val="en-US"/>
        </w:rPr>
        <w:t xml:space="preserve">”: </w:t>
      </w:r>
      <w:r w:rsidR="00073B15" w:rsidRPr="00D55DA8">
        <w:rPr>
          <w:lang w:val="en-US"/>
        </w:rPr>
        <w:t xml:space="preserve">they are </w:t>
      </w:r>
      <w:r w:rsidR="005C4EC8" w:rsidRPr="00D55DA8">
        <w:rPr>
          <w:lang w:val="en-US"/>
        </w:rPr>
        <w:t>approving</w:t>
      </w:r>
      <w:r w:rsidR="00241DB6" w:rsidRPr="00D55DA8">
        <w:rPr>
          <w:lang w:val="en-US"/>
        </w:rPr>
        <w:t xml:space="preserve"> governments for </w:t>
      </w:r>
      <w:r w:rsidR="005C4EC8" w:rsidRPr="00D55DA8">
        <w:rPr>
          <w:lang w:val="en-US"/>
        </w:rPr>
        <w:t xml:space="preserve">running </w:t>
      </w:r>
      <w:r w:rsidR="00241DB6" w:rsidRPr="00D55DA8">
        <w:rPr>
          <w:lang w:val="en-US"/>
        </w:rPr>
        <w:t xml:space="preserve">large deficits </w:t>
      </w:r>
      <w:r w:rsidR="00E12C06" w:rsidRPr="00D55DA8">
        <w:rPr>
          <w:lang w:val="en-US"/>
        </w:rPr>
        <w:t xml:space="preserve">that allow </w:t>
      </w:r>
      <w:r w:rsidR="002466C2" w:rsidRPr="00D55DA8">
        <w:rPr>
          <w:lang w:val="en-US"/>
        </w:rPr>
        <w:t>them to</w:t>
      </w:r>
      <w:r w:rsidR="00241DB6" w:rsidRPr="00D55DA8">
        <w:rPr>
          <w:lang w:val="en-US"/>
        </w:rPr>
        <w:t xml:space="preserve"> increase spending or reduce taxes</w:t>
      </w:r>
      <w:r w:rsidRPr="00D55DA8">
        <w:rPr>
          <w:lang w:val="en-US"/>
        </w:rPr>
        <w:t>. In contrast,</w:t>
      </w:r>
      <w:r w:rsidR="00241DB6" w:rsidRPr="00D55DA8">
        <w:rPr>
          <w:lang w:val="en-US"/>
        </w:rPr>
        <w:t xml:space="preserve"> other</w:t>
      </w:r>
      <w:r w:rsidRPr="00D55DA8">
        <w:rPr>
          <w:lang w:val="en-US"/>
        </w:rPr>
        <w:t>s</w:t>
      </w:r>
      <w:r w:rsidR="00241DB6" w:rsidRPr="00D55DA8">
        <w:rPr>
          <w:lang w:val="en-US"/>
        </w:rPr>
        <w:t xml:space="preserve"> </w:t>
      </w:r>
      <w:r w:rsidR="00087325" w:rsidRPr="00D55DA8">
        <w:rPr>
          <w:lang w:val="en-US"/>
        </w:rPr>
        <w:t>contend</w:t>
      </w:r>
      <w:r w:rsidR="00241DB6" w:rsidRPr="00D55DA8">
        <w:rPr>
          <w:lang w:val="en-US"/>
        </w:rPr>
        <w:t xml:space="preserve"> that citizens reward governments for balanced budgets. We contribute to this debate by model</w:t>
      </w:r>
      <w:r w:rsidR="008622F3" w:rsidRPr="00D55DA8">
        <w:rPr>
          <w:lang w:val="en-US"/>
        </w:rPr>
        <w:t>l</w:t>
      </w:r>
      <w:r w:rsidR="00241DB6" w:rsidRPr="00D55DA8">
        <w:rPr>
          <w:lang w:val="en-US"/>
        </w:rPr>
        <w:t xml:space="preserve">ing a popularity function </w:t>
      </w:r>
      <w:r w:rsidR="00483957" w:rsidRPr="00D55DA8">
        <w:rPr>
          <w:lang w:val="en-US"/>
        </w:rPr>
        <w:t xml:space="preserve">for </w:t>
      </w:r>
      <w:r w:rsidR="00241DB6" w:rsidRPr="00D55DA8">
        <w:rPr>
          <w:lang w:val="en-US"/>
        </w:rPr>
        <w:t>the Canadian federal government</w:t>
      </w:r>
      <w:r w:rsidR="00E21C2A" w:rsidRPr="00D55DA8">
        <w:rPr>
          <w:lang w:val="en-US"/>
        </w:rPr>
        <w:t xml:space="preserve"> and </w:t>
      </w:r>
      <w:r w:rsidR="00073B15" w:rsidRPr="00D55DA8">
        <w:rPr>
          <w:lang w:val="en-US"/>
        </w:rPr>
        <w:t>show</w:t>
      </w:r>
      <w:r w:rsidR="00241DB6" w:rsidRPr="00D55DA8">
        <w:rPr>
          <w:lang w:val="en-US"/>
        </w:rPr>
        <w:t xml:space="preserve"> that </w:t>
      </w:r>
      <w:r w:rsidR="00611D9E" w:rsidRPr="00D55DA8">
        <w:rPr>
          <w:lang w:val="en-US"/>
        </w:rPr>
        <w:t xml:space="preserve">the impact of fiscal policies on </w:t>
      </w:r>
      <w:r w:rsidR="004A52E1" w:rsidRPr="00D55DA8">
        <w:rPr>
          <w:lang w:val="en-US"/>
        </w:rPr>
        <w:t xml:space="preserve">the </w:t>
      </w:r>
      <w:r w:rsidR="00A648E0" w:rsidRPr="00D55DA8">
        <w:rPr>
          <w:lang w:val="en-US"/>
        </w:rPr>
        <w:t xml:space="preserve">executive’s </w:t>
      </w:r>
      <w:r w:rsidR="00611D9E" w:rsidRPr="00D55DA8">
        <w:rPr>
          <w:lang w:val="en-US"/>
        </w:rPr>
        <w:t xml:space="preserve">popularity </w:t>
      </w:r>
      <w:r w:rsidR="002466C2" w:rsidRPr="00D55DA8">
        <w:rPr>
          <w:lang w:val="en-US"/>
        </w:rPr>
        <w:t>changes</w:t>
      </w:r>
      <w:r w:rsidR="00611D9E" w:rsidRPr="00D55DA8">
        <w:rPr>
          <w:lang w:val="en-US"/>
        </w:rPr>
        <w:t xml:space="preserve"> over</w:t>
      </w:r>
      <w:r w:rsidR="00125129" w:rsidRPr="00D55DA8">
        <w:rPr>
          <w:lang w:val="en-US"/>
        </w:rPr>
        <w:t xml:space="preserve"> </w:t>
      </w:r>
      <w:r w:rsidR="00611D9E" w:rsidRPr="00D55DA8">
        <w:rPr>
          <w:lang w:val="en-US"/>
        </w:rPr>
        <w:t xml:space="preserve">time. Until the early 1990s, Canadians </w:t>
      </w:r>
      <w:r w:rsidR="00E21C2A" w:rsidRPr="00D55DA8">
        <w:rPr>
          <w:lang w:val="en-US"/>
        </w:rPr>
        <w:t>preferred</w:t>
      </w:r>
      <w:r w:rsidR="006C794A" w:rsidRPr="00D55DA8">
        <w:rPr>
          <w:lang w:val="en-US"/>
        </w:rPr>
        <w:t xml:space="preserve"> budget deficits.</w:t>
      </w:r>
      <w:r w:rsidR="00611D9E" w:rsidRPr="00D55DA8">
        <w:rPr>
          <w:lang w:val="en-US"/>
        </w:rPr>
        <w:t xml:space="preserve"> </w:t>
      </w:r>
      <w:r w:rsidR="00241DB6" w:rsidRPr="00D55DA8">
        <w:rPr>
          <w:lang w:val="en-US"/>
        </w:rPr>
        <w:t>As</w:t>
      </w:r>
      <w:r w:rsidR="00611D9E" w:rsidRPr="00D55DA8">
        <w:rPr>
          <w:lang w:val="en-US"/>
        </w:rPr>
        <w:t xml:space="preserve"> deficits became unsustainable during the economic crisis of the early 1990s, the government shifted its </w:t>
      </w:r>
      <w:r w:rsidR="002466C2" w:rsidRPr="00D55DA8">
        <w:rPr>
          <w:lang w:val="en-US"/>
        </w:rPr>
        <w:t xml:space="preserve">fiscal </w:t>
      </w:r>
      <w:r w:rsidR="00611D9E" w:rsidRPr="00D55DA8">
        <w:rPr>
          <w:lang w:val="en-US"/>
        </w:rPr>
        <w:t>policy paradigm</w:t>
      </w:r>
      <w:r w:rsidR="00073B15" w:rsidRPr="00D55DA8">
        <w:rPr>
          <w:lang w:val="en-US"/>
        </w:rPr>
        <w:t xml:space="preserve"> as </w:t>
      </w:r>
      <w:r w:rsidR="002466C2" w:rsidRPr="00D55DA8">
        <w:rPr>
          <w:lang w:val="en-US"/>
        </w:rPr>
        <w:t>balancing the budget became its primary fiscal objective</w:t>
      </w:r>
      <w:r w:rsidR="00611D9E" w:rsidRPr="00D55DA8">
        <w:rPr>
          <w:lang w:val="en-US"/>
        </w:rPr>
        <w:t xml:space="preserve">, while citizens </w:t>
      </w:r>
      <w:r w:rsidR="002466C2" w:rsidRPr="00D55DA8">
        <w:rPr>
          <w:lang w:val="en-US"/>
        </w:rPr>
        <w:t>were</w:t>
      </w:r>
      <w:r w:rsidR="00611D9E" w:rsidRPr="00D55DA8">
        <w:rPr>
          <w:lang w:val="en-US"/>
        </w:rPr>
        <w:t xml:space="preserve"> eagerly concerned about the deficits. Since 1993, citizens’ “deficit bias” morphed into an “austerity bias”</w:t>
      </w:r>
      <w:r w:rsidR="00E12C06" w:rsidRPr="00D55DA8">
        <w:rPr>
          <w:lang w:val="en-US"/>
        </w:rPr>
        <w:t xml:space="preserve">: </w:t>
      </w:r>
      <w:r w:rsidR="00A648E0" w:rsidRPr="00D55DA8">
        <w:rPr>
          <w:lang w:val="en-US"/>
        </w:rPr>
        <w:t xml:space="preserve">executive </w:t>
      </w:r>
      <w:r w:rsidR="000F7F44" w:rsidRPr="00D55DA8">
        <w:rPr>
          <w:lang w:val="en-US"/>
        </w:rPr>
        <w:t>approval</w:t>
      </w:r>
      <w:r w:rsidR="00611D9E" w:rsidRPr="00D55DA8">
        <w:rPr>
          <w:lang w:val="en-US"/>
        </w:rPr>
        <w:t xml:space="preserve"> increases when deficits are reduced. </w:t>
      </w:r>
      <w:r w:rsidR="00241DB6" w:rsidRPr="00D55DA8">
        <w:rPr>
          <w:lang w:val="en-US"/>
        </w:rPr>
        <w:t xml:space="preserve">These findings contribute to comparative political economy research by </w:t>
      </w:r>
      <w:r w:rsidR="006C794A" w:rsidRPr="00D55DA8">
        <w:rPr>
          <w:lang w:val="en-US"/>
        </w:rPr>
        <w:t>assessing</w:t>
      </w:r>
      <w:r w:rsidR="00087325" w:rsidRPr="00D55DA8">
        <w:rPr>
          <w:lang w:val="en-US"/>
        </w:rPr>
        <w:t xml:space="preserve"> </w:t>
      </w:r>
      <w:r w:rsidR="00241DB6" w:rsidRPr="00D55DA8">
        <w:rPr>
          <w:lang w:val="en-US"/>
        </w:rPr>
        <w:t>how</w:t>
      </w:r>
      <w:r w:rsidR="005C4EC8" w:rsidRPr="00D55DA8">
        <w:rPr>
          <w:lang w:val="en-US"/>
        </w:rPr>
        <w:t xml:space="preserve"> policy regimes </w:t>
      </w:r>
      <w:r w:rsidR="00710364" w:rsidRPr="00D55DA8">
        <w:rPr>
          <w:lang w:val="en-US"/>
        </w:rPr>
        <w:t xml:space="preserve">and </w:t>
      </w:r>
      <w:r w:rsidR="005C4EC8" w:rsidRPr="00D55DA8">
        <w:rPr>
          <w:lang w:val="en-US"/>
        </w:rPr>
        <w:t>public preferences</w:t>
      </w:r>
      <w:r w:rsidR="00710364" w:rsidRPr="00D55DA8">
        <w:rPr>
          <w:lang w:val="en-US"/>
        </w:rPr>
        <w:t xml:space="preserve"> reinforce each other</w:t>
      </w:r>
      <w:r w:rsidR="00241DB6" w:rsidRPr="00D55DA8">
        <w:rPr>
          <w:lang w:val="en-US"/>
        </w:rPr>
        <w:t xml:space="preserve">.  </w:t>
      </w:r>
    </w:p>
    <w:p w14:paraId="134C54FF" w14:textId="1462F3CD" w:rsidR="00611D9E" w:rsidRPr="00D55DA8" w:rsidRDefault="00611D9E" w:rsidP="00E21C2A">
      <w:pPr>
        <w:spacing w:line="480" w:lineRule="auto"/>
        <w:jc w:val="both"/>
        <w:rPr>
          <w:lang w:val="en-US"/>
        </w:rPr>
      </w:pPr>
    </w:p>
    <w:p w14:paraId="332FB400" w14:textId="50758DBC" w:rsidR="00611D9E" w:rsidRPr="00D55DA8" w:rsidRDefault="00611D9E" w:rsidP="00E21C2A">
      <w:pPr>
        <w:spacing w:line="480" w:lineRule="auto"/>
        <w:jc w:val="both"/>
        <w:rPr>
          <w:lang w:val="en-US"/>
        </w:rPr>
      </w:pPr>
    </w:p>
    <w:p w14:paraId="48CB4C79" w14:textId="3A419C5E" w:rsidR="002466C2" w:rsidRPr="00D55DA8" w:rsidRDefault="002466C2" w:rsidP="00E21C2A">
      <w:pPr>
        <w:spacing w:line="480" w:lineRule="auto"/>
        <w:jc w:val="both"/>
        <w:rPr>
          <w:lang w:val="en-US"/>
        </w:rPr>
      </w:pPr>
    </w:p>
    <w:p w14:paraId="021896E5" w14:textId="04619361" w:rsidR="002466C2" w:rsidRPr="00D55DA8" w:rsidRDefault="002466C2" w:rsidP="00E21C2A">
      <w:pPr>
        <w:spacing w:line="480" w:lineRule="auto"/>
        <w:jc w:val="both"/>
        <w:rPr>
          <w:lang w:val="en-US"/>
        </w:rPr>
      </w:pPr>
    </w:p>
    <w:p w14:paraId="2E5FAEF5" w14:textId="27C7B8C0" w:rsidR="002466C2" w:rsidRPr="00D55DA8" w:rsidRDefault="002466C2" w:rsidP="00E21C2A">
      <w:pPr>
        <w:spacing w:line="480" w:lineRule="auto"/>
        <w:jc w:val="both"/>
        <w:rPr>
          <w:lang w:val="en-US"/>
        </w:rPr>
      </w:pPr>
    </w:p>
    <w:p w14:paraId="4C98A6D6" w14:textId="3B870A7E" w:rsidR="002466C2" w:rsidRPr="00D55DA8" w:rsidRDefault="002466C2" w:rsidP="00E21C2A">
      <w:pPr>
        <w:spacing w:line="480" w:lineRule="auto"/>
        <w:jc w:val="both"/>
        <w:rPr>
          <w:lang w:val="en-US"/>
        </w:rPr>
      </w:pPr>
    </w:p>
    <w:p w14:paraId="46AA607F" w14:textId="77777777" w:rsidR="00E21C2A" w:rsidRPr="00D55DA8" w:rsidRDefault="00E21C2A" w:rsidP="00E21C2A">
      <w:pPr>
        <w:spacing w:line="480" w:lineRule="auto"/>
        <w:jc w:val="both"/>
        <w:rPr>
          <w:lang w:val="en-US"/>
        </w:rPr>
      </w:pPr>
    </w:p>
    <w:p w14:paraId="1676652D" w14:textId="77777777" w:rsidR="003D2ED5" w:rsidRPr="00D55DA8" w:rsidRDefault="003D2ED5">
      <w:pPr>
        <w:rPr>
          <w:b/>
          <w:bCs/>
          <w:lang w:val="en-US"/>
        </w:rPr>
      </w:pPr>
      <w:r w:rsidRPr="00D55DA8">
        <w:rPr>
          <w:b/>
          <w:bCs/>
          <w:lang w:val="en-US"/>
        </w:rPr>
        <w:br w:type="page"/>
      </w:r>
    </w:p>
    <w:p w14:paraId="1DF4B1BF" w14:textId="5185D62D" w:rsidR="00CE1F8D" w:rsidRPr="00D55DA8" w:rsidRDefault="00CE1F8D" w:rsidP="00E21C2A">
      <w:pPr>
        <w:spacing w:line="480" w:lineRule="auto"/>
        <w:jc w:val="both"/>
        <w:rPr>
          <w:b/>
          <w:bCs/>
          <w:lang w:val="en-US"/>
        </w:rPr>
      </w:pPr>
      <w:r w:rsidRPr="00D55DA8">
        <w:rPr>
          <w:b/>
          <w:bCs/>
          <w:lang w:val="en-US"/>
        </w:rPr>
        <w:lastRenderedPageBreak/>
        <w:t>Introduction</w:t>
      </w:r>
    </w:p>
    <w:p w14:paraId="3E8F4900" w14:textId="77777777" w:rsidR="00CE1F8D" w:rsidRPr="00D55DA8" w:rsidRDefault="00CE1F8D" w:rsidP="00E21C2A">
      <w:pPr>
        <w:spacing w:line="480" w:lineRule="auto"/>
        <w:jc w:val="both"/>
        <w:rPr>
          <w:lang w:val="en-US"/>
        </w:rPr>
      </w:pPr>
    </w:p>
    <w:p w14:paraId="33945418" w14:textId="1C366E80" w:rsidR="00712CD8" w:rsidRPr="00D55DA8" w:rsidRDefault="00241DB6" w:rsidP="00E21C2A">
      <w:pPr>
        <w:spacing w:line="480" w:lineRule="auto"/>
        <w:jc w:val="both"/>
        <w:rPr>
          <w:lang w:val="en-US"/>
        </w:rPr>
      </w:pPr>
      <w:r w:rsidRPr="00D55DA8">
        <w:rPr>
          <w:lang w:val="en-US"/>
        </w:rPr>
        <w:t xml:space="preserve">A </w:t>
      </w:r>
      <w:r w:rsidR="00C67478" w:rsidRPr="00D55DA8">
        <w:rPr>
          <w:lang w:val="en-US"/>
        </w:rPr>
        <w:t xml:space="preserve">scholarly </w:t>
      </w:r>
      <w:r w:rsidRPr="00D55DA8">
        <w:rPr>
          <w:lang w:val="en-US"/>
        </w:rPr>
        <w:t>literature rooted in public choice theory sought to</w:t>
      </w:r>
      <w:r w:rsidR="002466C2" w:rsidRPr="00D55DA8">
        <w:rPr>
          <w:lang w:val="en-US"/>
        </w:rPr>
        <w:t xml:space="preserve"> understand </w:t>
      </w:r>
      <w:r w:rsidR="008622F3" w:rsidRPr="00D55DA8">
        <w:rPr>
          <w:lang w:val="en-US"/>
        </w:rPr>
        <w:t>t</w:t>
      </w:r>
      <w:r w:rsidR="00C11CBA" w:rsidRPr="00D55DA8">
        <w:rPr>
          <w:lang w:val="en-US"/>
        </w:rPr>
        <w:t>he political foundations of sustained budget deficits in advanced democracies</w:t>
      </w:r>
      <w:r w:rsidR="001D7BE3" w:rsidRPr="00D55DA8">
        <w:rPr>
          <w:lang w:val="en-US"/>
        </w:rPr>
        <w:t xml:space="preserve">. </w:t>
      </w:r>
      <w:r w:rsidR="00E12C06" w:rsidRPr="00D55DA8">
        <w:rPr>
          <w:lang w:val="en-US"/>
        </w:rPr>
        <w:t>P</w:t>
      </w:r>
      <w:r w:rsidR="002F2C42" w:rsidRPr="00D55DA8">
        <w:rPr>
          <w:lang w:val="en-US"/>
        </w:rPr>
        <w:t>ublic choice suggest</w:t>
      </w:r>
      <w:r w:rsidR="00CF57AC" w:rsidRPr="00D55DA8">
        <w:rPr>
          <w:lang w:val="en-US"/>
        </w:rPr>
        <w:t>s</w:t>
      </w:r>
      <w:r w:rsidR="002F2C42" w:rsidRPr="00D55DA8">
        <w:rPr>
          <w:lang w:val="en-US"/>
        </w:rPr>
        <w:t xml:space="preserve"> that deficit biases </w:t>
      </w:r>
      <w:r w:rsidR="00412081" w:rsidRPr="00D55DA8">
        <w:rPr>
          <w:lang w:val="en-US"/>
        </w:rPr>
        <w:t>derive</w:t>
      </w:r>
      <w:r w:rsidR="002F2C42" w:rsidRPr="00D55DA8">
        <w:rPr>
          <w:lang w:val="en-US"/>
        </w:rPr>
        <w:t xml:space="preserve"> </w:t>
      </w:r>
      <w:r w:rsidR="00E12C06" w:rsidRPr="00D55DA8">
        <w:rPr>
          <w:lang w:val="en-US"/>
        </w:rPr>
        <w:t xml:space="preserve">from issues related to governance such as common pool problems or </w:t>
      </w:r>
      <w:r w:rsidR="002F2C42" w:rsidRPr="00D55DA8">
        <w:rPr>
          <w:lang w:val="en-US"/>
        </w:rPr>
        <w:t>from the public’s preferences. It</w:t>
      </w:r>
      <w:r w:rsidR="00BE422C" w:rsidRPr="00D55DA8">
        <w:rPr>
          <w:lang w:val="en-US"/>
        </w:rPr>
        <w:t xml:space="preserve"> suggest</w:t>
      </w:r>
      <w:r w:rsidR="002F2C42" w:rsidRPr="00D55DA8">
        <w:rPr>
          <w:lang w:val="en-US"/>
        </w:rPr>
        <w:t>s</w:t>
      </w:r>
      <w:r w:rsidR="00BE422C" w:rsidRPr="00D55DA8">
        <w:rPr>
          <w:lang w:val="en-US"/>
        </w:rPr>
        <w:t xml:space="preserve"> that voters</w:t>
      </w:r>
      <w:r w:rsidR="001D7BE3" w:rsidRPr="00D55DA8">
        <w:rPr>
          <w:lang w:val="en-US"/>
        </w:rPr>
        <w:t xml:space="preserve"> want “something for nothing” (they prefer higher </w:t>
      </w:r>
      <w:r w:rsidR="00C67478" w:rsidRPr="00D55DA8">
        <w:rPr>
          <w:lang w:val="en-US"/>
        </w:rPr>
        <w:t>spending</w:t>
      </w:r>
      <w:r w:rsidR="001D7BE3" w:rsidRPr="00D55DA8">
        <w:rPr>
          <w:lang w:val="en-US"/>
        </w:rPr>
        <w:t xml:space="preserve"> and lower </w:t>
      </w:r>
      <w:r w:rsidR="00C67478" w:rsidRPr="00D55DA8">
        <w:rPr>
          <w:lang w:val="en-US"/>
        </w:rPr>
        <w:t>taxes</w:t>
      </w:r>
      <w:r w:rsidR="001D7BE3" w:rsidRPr="00D55DA8">
        <w:rPr>
          <w:lang w:val="en-US"/>
        </w:rPr>
        <w:t>)</w:t>
      </w:r>
      <w:r w:rsidR="00E12C06" w:rsidRPr="00D55DA8">
        <w:rPr>
          <w:lang w:val="en-US"/>
        </w:rPr>
        <w:t xml:space="preserve">, </w:t>
      </w:r>
      <w:r w:rsidR="00CF57AC" w:rsidRPr="00D55DA8">
        <w:rPr>
          <w:lang w:val="en-US"/>
        </w:rPr>
        <w:t xml:space="preserve">and that they </w:t>
      </w:r>
      <w:r w:rsidR="002F2C42" w:rsidRPr="00D55DA8">
        <w:rPr>
          <w:lang w:val="en-US"/>
        </w:rPr>
        <w:t xml:space="preserve">are too myopic to </w:t>
      </w:r>
      <w:r w:rsidR="00BE422C" w:rsidRPr="00D55DA8">
        <w:rPr>
          <w:lang w:val="en-US"/>
        </w:rPr>
        <w:t xml:space="preserve">foresee the negative consequences of rising budget deficits. As such, vote-seeking politicians have a structural incentive to engage in budget deficits, especially as elections approach </w:t>
      </w:r>
      <w:r w:rsidR="00BE422C" w:rsidRPr="00D55DA8">
        <w:rPr>
          <w:color w:val="000000"/>
          <w:lang w:val="en-US"/>
        </w:rPr>
        <w:t>(</w:t>
      </w:r>
      <w:proofErr w:type="spellStart"/>
      <w:r w:rsidR="00BE422C" w:rsidRPr="00D55DA8">
        <w:rPr>
          <w:lang w:val="en-US"/>
        </w:rPr>
        <w:t>Calmfors</w:t>
      </w:r>
      <w:proofErr w:type="spellEnd"/>
      <w:r w:rsidR="00BE422C" w:rsidRPr="00D55DA8">
        <w:rPr>
          <w:lang w:val="en-US"/>
        </w:rPr>
        <w:t xml:space="preserve"> and Wren-Lewis 2010). </w:t>
      </w:r>
      <w:r w:rsidR="00710364" w:rsidRPr="00D55DA8">
        <w:rPr>
          <w:lang w:val="en-US"/>
        </w:rPr>
        <w:t>S</w:t>
      </w:r>
      <w:r w:rsidR="00BE422C" w:rsidRPr="00D55DA8">
        <w:rPr>
          <w:lang w:val="en-US"/>
        </w:rPr>
        <w:t>everal studies in comparative political economy confirm that citizens punish governments for aggressive deficit reduction policies (</w:t>
      </w:r>
      <w:proofErr w:type="spellStart"/>
      <w:r w:rsidR="00BE422C" w:rsidRPr="00D55DA8">
        <w:rPr>
          <w:lang w:val="en-US"/>
        </w:rPr>
        <w:t>Talving</w:t>
      </w:r>
      <w:proofErr w:type="spellEnd"/>
      <w:r w:rsidR="00BE422C" w:rsidRPr="00D55DA8">
        <w:rPr>
          <w:lang w:val="en-US"/>
        </w:rPr>
        <w:t xml:space="preserve"> 2017; </w:t>
      </w:r>
      <w:proofErr w:type="spellStart"/>
      <w:r w:rsidR="00BE422C" w:rsidRPr="00D55DA8">
        <w:rPr>
          <w:lang w:val="en-US"/>
        </w:rPr>
        <w:t>Bojar</w:t>
      </w:r>
      <w:proofErr w:type="spellEnd"/>
      <w:r w:rsidR="00BE422C" w:rsidRPr="00D55DA8">
        <w:rPr>
          <w:lang w:val="en-US"/>
        </w:rPr>
        <w:t xml:space="preserve"> et al. 2021; Jacques and </w:t>
      </w:r>
      <w:proofErr w:type="spellStart"/>
      <w:r w:rsidR="00BE422C" w:rsidRPr="00D55DA8">
        <w:rPr>
          <w:lang w:val="en-US"/>
        </w:rPr>
        <w:t>Haffert</w:t>
      </w:r>
      <w:proofErr w:type="spellEnd"/>
      <w:r w:rsidR="00BE422C" w:rsidRPr="00D55DA8">
        <w:rPr>
          <w:lang w:val="en-US"/>
        </w:rPr>
        <w:t xml:space="preserve"> 2021). </w:t>
      </w:r>
    </w:p>
    <w:p w14:paraId="238C18E1" w14:textId="45B263A2" w:rsidR="0075267A" w:rsidRPr="00D55DA8" w:rsidRDefault="00712CD8" w:rsidP="00E21C2A">
      <w:pPr>
        <w:spacing w:line="480" w:lineRule="auto"/>
        <w:ind w:firstLine="708"/>
        <w:jc w:val="both"/>
        <w:rPr>
          <w:color w:val="000000" w:themeColor="text1"/>
          <w:lang w:val="en-US"/>
        </w:rPr>
      </w:pPr>
      <w:r w:rsidRPr="00D55DA8">
        <w:rPr>
          <w:lang w:val="en-US"/>
        </w:rPr>
        <w:t xml:space="preserve">On the other hand, </w:t>
      </w:r>
      <w:r w:rsidR="00412081" w:rsidRPr="00D55DA8">
        <w:rPr>
          <w:lang w:val="en-US"/>
        </w:rPr>
        <w:t>various</w:t>
      </w:r>
      <w:r w:rsidR="00CF57AC" w:rsidRPr="00D55DA8">
        <w:rPr>
          <w:lang w:val="en-US"/>
        </w:rPr>
        <w:t xml:space="preserve"> </w:t>
      </w:r>
      <w:r w:rsidRPr="00D55DA8">
        <w:rPr>
          <w:lang w:val="en-US"/>
        </w:rPr>
        <w:t xml:space="preserve">studies suggest that </w:t>
      </w:r>
      <w:r w:rsidR="00C11CBA" w:rsidRPr="00D55DA8">
        <w:rPr>
          <w:lang w:val="en-US"/>
        </w:rPr>
        <w:t>citizens</w:t>
      </w:r>
      <w:r w:rsidR="00CE68D8" w:rsidRPr="00D55DA8">
        <w:rPr>
          <w:lang w:val="en-US"/>
        </w:rPr>
        <w:t xml:space="preserve"> dislike government debt and</w:t>
      </w:r>
      <w:r w:rsidR="00C11CBA" w:rsidRPr="00D55DA8">
        <w:rPr>
          <w:lang w:val="en-US"/>
        </w:rPr>
        <w:t xml:space="preserve"> </w:t>
      </w:r>
      <w:r w:rsidRPr="00D55DA8">
        <w:rPr>
          <w:lang w:val="en-US"/>
        </w:rPr>
        <w:t>support balanced budgets</w:t>
      </w:r>
      <w:r w:rsidR="005C4EC8" w:rsidRPr="00D55DA8">
        <w:rPr>
          <w:lang w:val="en-US"/>
        </w:rPr>
        <w:t>, possibly because they know that higher debt will need to be paid for</w:t>
      </w:r>
      <w:r w:rsidR="00C11CBA" w:rsidRPr="00D55DA8">
        <w:rPr>
          <w:lang w:val="en-US"/>
        </w:rPr>
        <w:t xml:space="preserve"> in the future</w:t>
      </w:r>
      <w:r w:rsidR="00C67478" w:rsidRPr="00D55DA8">
        <w:rPr>
          <w:lang w:val="en-US"/>
        </w:rPr>
        <w:t xml:space="preserve"> (</w:t>
      </w:r>
      <w:proofErr w:type="spellStart"/>
      <w:r w:rsidR="00C67478" w:rsidRPr="00D55DA8">
        <w:rPr>
          <w:lang w:val="en-US"/>
        </w:rPr>
        <w:t>Bansak</w:t>
      </w:r>
      <w:proofErr w:type="spellEnd"/>
      <w:r w:rsidR="00C67478" w:rsidRPr="00D55DA8">
        <w:rPr>
          <w:lang w:val="en-US"/>
        </w:rPr>
        <w:t xml:space="preserve"> et al. 2021)</w:t>
      </w:r>
      <w:r w:rsidRPr="00D55DA8">
        <w:rPr>
          <w:lang w:val="en-US"/>
        </w:rPr>
        <w:t xml:space="preserve">. </w:t>
      </w:r>
      <w:r w:rsidR="005C4EC8" w:rsidRPr="00D55DA8">
        <w:rPr>
          <w:lang w:val="en-US"/>
        </w:rPr>
        <w:t xml:space="preserve">Several </w:t>
      </w:r>
      <w:r w:rsidR="00BE422C" w:rsidRPr="00D55DA8">
        <w:rPr>
          <w:lang w:val="en-US"/>
        </w:rPr>
        <w:t>works</w:t>
      </w:r>
      <w:r w:rsidR="00087325" w:rsidRPr="00D55DA8">
        <w:rPr>
          <w:lang w:val="en-US"/>
        </w:rPr>
        <w:t xml:space="preserve"> </w:t>
      </w:r>
      <w:r w:rsidR="005C4EC8" w:rsidRPr="00D55DA8">
        <w:rPr>
          <w:lang w:val="en-US"/>
        </w:rPr>
        <w:t>have found that</w:t>
      </w:r>
      <w:r w:rsidRPr="00D55DA8">
        <w:rPr>
          <w:lang w:val="en-US"/>
        </w:rPr>
        <w:t xml:space="preserve"> governments are not </w:t>
      </w:r>
      <w:r w:rsidR="00332A6C" w:rsidRPr="00D55DA8">
        <w:rPr>
          <w:lang w:val="en-US"/>
        </w:rPr>
        <w:t xml:space="preserve">necessarily </w:t>
      </w:r>
      <w:r w:rsidRPr="00D55DA8">
        <w:rPr>
          <w:lang w:val="en-US"/>
        </w:rPr>
        <w:t>more</w:t>
      </w:r>
      <w:r w:rsidR="00CE1F8D" w:rsidRPr="00D55DA8">
        <w:rPr>
          <w:lang w:val="en-US"/>
        </w:rPr>
        <w:t xml:space="preserve"> </w:t>
      </w:r>
      <w:r w:rsidRPr="00D55DA8">
        <w:rPr>
          <w:lang w:val="en-US"/>
        </w:rPr>
        <w:t xml:space="preserve">likely to </w:t>
      </w:r>
      <w:r w:rsidR="00332A6C" w:rsidRPr="00D55DA8">
        <w:rPr>
          <w:lang w:val="en-US"/>
        </w:rPr>
        <w:t>lose</w:t>
      </w:r>
      <w:r w:rsidRPr="00D55DA8">
        <w:rPr>
          <w:lang w:val="en-US"/>
        </w:rPr>
        <w:t xml:space="preserve"> </w:t>
      </w:r>
      <w:r w:rsidR="00332A6C" w:rsidRPr="00D55DA8">
        <w:rPr>
          <w:lang w:val="en-US"/>
        </w:rPr>
        <w:t xml:space="preserve">the </w:t>
      </w:r>
      <w:r w:rsidRPr="00D55DA8">
        <w:rPr>
          <w:lang w:val="en-US"/>
        </w:rPr>
        <w:t>next election if they implement austerity measures (</w:t>
      </w:r>
      <w:proofErr w:type="spellStart"/>
      <w:r w:rsidR="000D1717" w:rsidRPr="00D55DA8">
        <w:rPr>
          <w:lang w:val="en-US"/>
        </w:rPr>
        <w:t>Brender</w:t>
      </w:r>
      <w:proofErr w:type="spellEnd"/>
      <w:r w:rsidR="000D1717" w:rsidRPr="00D55DA8">
        <w:rPr>
          <w:lang w:val="en-US"/>
        </w:rPr>
        <w:t xml:space="preserve"> and Drazen 2008; </w:t>
      </w:r>
      <w:proofErr w:type="spellStart"/>
      <w:r w:rsidRPr="00D55DA8">
        <w:rPr>
          <w:lang w:val="en-US"/>
        </w:rPr>
        <w:t>Alesina</w:t>
      </w:r>
      <w:proofErr w:type="spellEnd"/>
      <w:r w:rsidRPr="00D55DA8">
        <w:rPr>
          <w:lang w:val="en-US"/>
        </w:rPr>
        <w:t xml:space="preserve"> et al. 2019; Arias and </w:t>
      </w:r>
      <w:proofErr w:type="spellStart"/>
      <w:r w:rsidRPr="00D55DA8">
        <w:rPr>
          <w:lang w:val="en-US"/>
        </w:rPr>
        <w:t>Stasavage</w:t>
      </w:r>
      <w:proofErr w:type="spellEnd"/>
      <w:r w:rsidRPr="00D55DA8">
        <w:rPr>
          <w:lang w:val="en-US"/>
        </w:rPr>
        <w:t xml:space="preserve"> 2019). </w:t>
      </w:r>
      <w:r w:rsidR="00332A6C" w:rsidRPr="00D55DA8">
        <w:rPr>
          <w:lang w:val="en-US"/>
        </w:rPr>
        <w:t xml:space="preserve">Moreover, </w:t>
      </w:r>
      <w:r w:rsidR="00332A6C" w:rsidRPr="00D55DA8">
        <w:rPr>
          <w:color w:val="000000" w:themeColor="text1"/>
          <w:lang w:val="en-US"/>
        </w:rPr>
        <w:t>a</w:t>
      </w:r>
      <w:r w:rsidR="00CE1F8D" w:rsidRPr="00D55DA8">
        <w:rPr>
          <w:color w:val="000000" w:themeColor="text1"/>
          <w:lang w:val="en-US"/>
        </w:rPr>
        <w:t xml:space="preserve"> negative </w:t>
      </w:r>
      <w:r w:rsidR="00332A6C" w:rsidRPr="00D55DA8">
        <w:rPr>
          <w:color w:val="000000" w:themeColor="text1"/>
          <w:lang w:val="en-US"/>
        </w:rPr>
        <w:t>relationship</w:t>
      </w:r>
      <w:r w:rsidR="00CE1F8D" w:rsidRPr="00D55DA8">
        <w:rPr>
          <w:color w:val="000000" w:themeColor="text1"/>
          <w:lang w:val="en-US"/>
        </w:rPr>
        <w:t xml:space="preserve"> between budgetary deficits and </w:t>
      </w:r>
      <w:r w:rsidR="006260CE" w:rsidRPr="00D55DA8">
        <w:rPr>
          <w:color w:val="000000" w:themeColor="text1"/>
          <w:lang w:val="en-US"/>
        </w:rPr>
        <w:t>executive</w:t>
      </w:r>
      <w:r w:rsidR="00CE1F8D" w:rsidRPr="00D55DA8">
        <w:rPr>
          <w:color w:val="000000" w:themeColor="text1"/>
          <w:lang w:val="en-US"/>
        </w:rPr>
        <w:t xml:space="preserve"> approval has also been found in some popularity functions (</w:t>
      </w:r>
      <w:proofErr w:type="spellStart"/>
      <w:r w:rsidR="00CE1F8D" w:rsidRPr="00D55DA8">
        <w:rPr>
          <w:color w:val="000000" w:themeColor="text1"/>
          <w:lang w:val="en-US"/>
        </w:rPr>
        <w:t>Geys</w:t>
      </w:r>
      <w:proofErr w:type="spellEnd"/>
      <w:r w:rsidR="00CE1F8D" w:rsidRPr="00D55DA8">
        <w:rPr>
          <w:color w:val="000000" w:themeColor="text1"/>
          <w:lang w:val="en-US"/>
        </w:rPr>
        <w:t xml:space="preserve"> and </w:t>
      </w:r>
      <w:proofErr w:type="spellStart"/>
      <w:r w:rsidR="00CE1F8D" w:rsidRPr="00D55DA8">
        <w:rPr>
          <w:color w:val="000000" w:themeColor="text1"/>
          <w:lang w:val="en-US"/>
        </w:rPr>
        <w:t>Vermeir</w:t>
      </w:r>
      <w:proofErr w:type="spellEnd"/>
      <w:r w:rsidR="00CE1F8D" w:rsidRPr="00D55DA8">
        <w:rPr>
          <w:color w:val="000000" w:themeColor="text1"/>
          <w:lang w:val="en-US"/>
        </w:rPr>
        <w:t xml:space="preserve"> 2008).</w:t>
      </w:r>
    </w:p>
    <w:p w14:paraId="0E5743FA" w14:textId="2EAF15CD" w:rsidR="00332A6C" w:rsidRPr="00D55DA8" w:rsidRDefault="00332A6C" w:rsidP="00E21C2A">
      <w:pPr>
        <w:spacing w:line="480" w:lineRule="auto"/>
        <w:ind w:firstLine="708"/>
        <w:jc w:val="both"/>
        <w:rPr>
          <w:color w:val="000000" w:themeColor="text1"/>
          <w:lang w:val="en-US"/>
        </w:rPr>
      </w:pPr>
      <w:r w:rsidRPr="00D55DA8">
        <w:rPr>
          <w:lang w:val="en-US"/>
        </w:rPr>
        <w:t>Considering</w:t>
      </w:r>
      <w:r w:rsidR="00CA68BE" w:rsidRPr="00D55DA8">
        <w:rPr>
          <w:lang w:val="en-US"/>
        </w:rPr>
        <w:t xml:space="preserve"> these contradictory </w:t>
      </w:r>
      <w:r w:rsidRPr="00D55DA8">
        <w:rPr>
          <w:lang w:val="en-US"/>
        </w:rPr>
        <w:t>findings</w:t>
      </w:r>
      <w:r w:rsidR="00CA68BE" w:rsidRPr="00D55DA8">
        <w:rPr>
          <w:lang w:val="en-US"/>
        </w:rPr>
        <w:t>,</w:t>
      </w:r>
      <w:r w:rsidRPr="00D55DA8">
        <w:rPr>
          <w:lang w:val="en-US"/>
        </w:rPr>
        <w:t xml:space="preserve"> how can we expect citizens to react to significant changes to the budgetary balance? Understanding citizen</w:t>
      </w:r>
      <w:r w:rsidR="008622F3" w:rsidRPr="00D55DA8">
        <w:rPr>
          <w:lang w:val="en-US"/>
        </w:rPr>
        <w:t>'</w:t>
      </w:r>
      <w:r w:rsidRPr="00D55DA8">
        <w:rPr>
          <w:lang w:val="en-US"/>
        </w:rPr>
        <w:t>s opinion of the deficit is particularly relevant, as governments in Canada and elsewhere have increased their budget deficits significantly</w:t>
      </w:r>
      <w:r w:rsidR="00E30257" w:rsidRPr="00D55DA8">
        <w:rPr>
          <w:lang w:val="en-US"/>
        </w:rPr>
        <w:t xml:space="preserve"> since the COVID-19 crisis. </w:t>
      </w:r>
      <w:r w:rsidR="00F25DFB" w:rsidRPr="00D55DA8">
        <w:rPr>
          <w:lang w:val="en-US"/>
        </w:rPr>
        <w:t>Public opinion is likely to influence government</w:t>
      </w:r>
      <w:r w:rsidR="00087325" w:rsidRPr="00D55DA8">
        <w:rPr>
          <w:lang w:val="en-US"/>
        </w:rPr>
        <w:t>s</w:t>
      </w:r>
      <w:r w:rsidR="00F25DFB" w:rsidRPr="00D55DA8">
        <w:rPr>
          <w:lang w:val="en-US"/>
        </w:rPr>
        <w:t>’ choices, a</w:t>
      </w:r>
      <w:r w:rsidR="007B573C" w:rsidRPr="00D55DA8">
        <w:rPr>
          <w:lang w:val="en-US"/>
        </w:rPr>
        <w:t>s they</w:t>
      </w:r>
      <w:r w:rsidR="00E30257" w:rsidRPr="00D55DA8">
        <w:rPr>
          <w:lang w:val="en-US"/>
        </w:rPr>
        <w:t xml:space="preserve"> are </w:t>
      </w:r>
      <w:r w:rsidRPr="00D55DA8">
        <w:rPr>
          <w:lang w:val="en-US"/>
        </w:rPr>
        <w:t xml:space="preserve">pondering on the </w:t>
      </w:r>
      <w:r w:rsidR="007B573C" w:rsidRPr="00D55DA8">
        <w:rPr>
          <w:lang w:val="en-US"/>
        </w:rPr>
        <w:t xml:space="preserve">policy </w:t>
      </w:r>
      <w:r w:rsidRPr="00D55DA8">
        <w:rPr>
          <w:lang w:val="en-US"/>
        </w:rPr>
        <w:t xml:space="preserve">trade-offs </w:t>
      </w:r>
      <w:r w:rsidR="00E30257" w:rsidRPr="00D55DA8">
        <w:rPr>
          <w:lang w:val="en-US"/>
        </w:rPr>
        <w:t>between</w:t>
      </w:r>
      <w:r w:rsidR="007B573C" w:rsidRPr="00D55DA8">
        <w:rPr>
          <w:lang w:val="en-US"/>
        </w:rPr>
        <w:t xml:space="preserve"> the sacrifices needed to </w:t>
      </w:r>
      <w:r w:rsidR="005C4EC8" w:rsidRPr="00D55DA8">
        <w:rPr>
          <w:lang w:val="en-US"/>
        </w:rPr>
        <w:t>balance</w:t>
      </w:r>
      <w:r w:rsidR="007B573C" w:rsidRPr="00D55DA8">
        <w:rPr>
          <w:lang w:val="en-US"/>
        </w:rPr>
        <w:t xml:space="preserve"> their</w:t>
      </w:r>
      <w:r w:rsidR="005C4EC8" w:rsidRPr="00D55DA8">
        <w:rPr>
          <w:lang w:val="en-US"/>
        </w:rPr>
        <w:t xml:space="preserve"> budgets</w:t>
      </w:r>
      <w:r w:rsidR="00E30257" w:rsidRPr="00D55DA8">
        <w:rPr>
          <w:lang w:val="en-US"/>
        </w:rPr>
        <w:t xml:space="preserve"> and an additional </w:t>
      </w:r>
      <w:r w:rsidRPr="00D55DA8">
        <w:rPr>
          <w:lang w:val="en-US"/>
        </w:rPr>
        <w:t xml:space="preserve">increase in public spending to </w:t>
      </w:r>
      <w:r w:rsidR="00CE68D8" w:rsidRPr="00D55DA8">
        <w:rPr>
          <w:lang w:val="en-US"/>
        </w:rPr>
        <w:t>stimulate</w:t>
      </w:r>
      <w:r w:rsidRPr="00D55DA8">
        <w:rPr>
          <w:lang w:val="en-US"/>
        </w:rPr>
        <w:t xml:space="preserve"> the economic recovery</w:t>
      </w:r>
      <w:r w:rsidR="00B02EFA" w:rsidRPr="00D55DA8">
        <w:rPr>
          <w:lang w:val="en-US"/>
        </w:rPr>
        <w:t xml:space="preserve"> (Lachapelle et al. 2021)</w:t>
      </w:r>
      <w:r w:rsidR="00E30257" w:rsidRPr="00D55DA8">
        <w:rPr>
          <w:lang w:val="en-US"/>
        </w:rPr>
        <w:t xml:space="preserve">. </w:t>
      </w:r>
      <w:r w:rsidRPr="00D55DA8">
        <w:rPr>
          <w:lang w:val="en-US"/>
        </w:rPr>
        <w:t>Yet, to our knowledge</w:t>
      </w:r>
      <w:r w:rsidR="00C87A50" w:rsidRPr="00D55DA8">
        <w:rPr>
          <w:lang w:val="en-US"/>
        </w:rPr>
        <w:t>,</w:t>
      </w:r>
      <w:r w:rsidRPr="00D55DA8">
        <w:rPr>
          <w:lang w:val="en-US"/>
        </w:rPr>
        <w:t xml:space="preserve"> </w:t>
      </w:r>
      <w:r w:rsidR="00C87A50" w:rsidRPr="00D55DA8">
        <w:rPr>
          <w:lang w:val="en-US"/>
        </w:rPr>
        <w:t>the impact of changes to the budgetary balance on the Canadian government’s popularity has never been studied</w:t>
      </w:r>
      <w:r w:rsidR="00CE68D8" w:rsidRPr="00D55DA8">
        <w:rPr>
          <w:lang w:val="en-US"/>
        </w:rPr>
        <w:t xml:space="preserve"> at the federal level (but see Tellier 2006 for an analysis at the provincial level)</w:t>
      </w:r>
      <w:r w:rsidR="005C4EC8" w:rsidRPr="00D55DA8">
        <w:rPr>
          <w:lang w:val="en-US"/>
        </w:rPr>
        <w:t>.</w:t>
      </w:r>
    </w:p>
    <w:p w14:paraId="4BE11C57" w14:textId="35800299" w:rsidR="00E30257" w:rsidRPr="00D55DA8" w:rsidRDefault="00C87A50" w:rsidP="00E21C2A">
      <w:pPr>
        <w:autoSpaceDE w:val="0"/>
        <w:autoSpaceDN w:val="0"/>
        <w:adjustRightInd w:val="0"/>
        <w:spacing w:line="480" w:lineRule="auto"/>
        <w:ind w:firstLine="708"/>
        <w:jc w:val="both"/>
        <w:rPr>
          <w:lang w:val="en-US"/>
        </w:rPr>
      </w:pPr>
      <w:r w:rsidRPr="00D55DA8">
        <w:rPr>
          <w:lang w:val="en-US"/>
        </w:rPr>
        <w:lastRenderedPageBreak/>
        <w:t>We argue that citizen</w:t>
      </w:r>
      <w:r w:rsidR="0057198A" w:rsidRPr="00D55DA8">
        <w:rPr>
          <w:lang w:val="en-US"/>
        </w:rPr>
        <w:t>s</w:t>
      </w:r>
      <w:r w:rsidRPr="00D55DA8">
        <w:rPr>
          <w:lang w:val="en-US"/>
        </w:rPr>
        <w:t xml:space="preserve">’ opinion </w:t>
      </w:r>
      <w:r w:rsidR="00E30257" w:rsidRPr="00D55DA8">
        <w:rPr>
          <w:lang w:val="en-US"/>
        </w:rPr>
        <w:t>about budget deficits</w:t>
      </w:r>
      <w:r w:rsidR="00DE1A91" w:rsidRPr="00D55DA8">
        <w:rPr>
          <w:lang w:val="en-US"/>
        </w:rPr>
        <w:t xml:space="preserve">, </w:t>
      </w:r>
      <w:r w:rsidRPr="00D55DA8">
        <w:rPr>
          <w:lang w:val="en-US"/>
        </w:rPr>
        <w:t>public discourse and fiscal institutions</w:t>
      </w:r>
      <w:r w:rsidR="00DE1A91" w:rsidRPr="00D55DA8">
        <w:rPr>
          <w:lang w:val="en-US"/>
        </w:rPr>
        <w:t xml:space="preserve"> influence each other</w:t>
      </w:r>
      <w:r w:rsidRPr="00D55DA8">
        <w:rPr>
          <w:lang w:val="en-US"/>
        </w:rPr>
        <w:t>. From the 1970</w:t>
      </w:r>
      <w:r w:rsidR="00087325" w:rsidRPr="00D55DA8">
        <w:rPr>
          <w:lang w:val="en-US"/>
        </w:rPr>
        <w:t>s</w:t>
      </w:r>
      <w:r w:rsidRPr="00D55DA8">
        <w:rPr>
          <w:lang w:val="en-US"/>
        </w:rPr>
        <w:t xml:space="preserve"> to the mid</w:t>
      </w:r>
      <w:r w:rsidR="00087325" w:rsidRPr="00D55DA8">
        <w:rPr>
          <w:lang w:val="en-US"/>
        </w:rPr>
        <w:t>-</w:t>
      </w:r>
      <w:r w:rsidRPr="00D55DA8">
        <w:rPr>
          <w:lang w:val="en-US"/>
        </w:rPr>
        <w:t>1990s, the government of Canada</w:t>
      </w:r>
      <w:r w:rsidR="0057198A" w:rsidRPr="00D55DA8">
        <w:rPr>
          <w:lang w:val="en-US"/>
        </w:rPr>
        <w:t xml:space="preserve"> was</w:t>
      </w:r>
      <w:r w:rsidRPr="00D55DA8">
        <w:rPr>
          <w:lang w:val="en-US"/>
        </w:rPr>
        <w:t xml:space="preserve"> unable </w:t>
      </w:r>
      <w:r w:rsidR="004115EA" w:rsidRPr="00D55DA8">
        <w:rPr>
          <w:lang w:val="en-US"/>
        </w:rPr>
        <w:t xml:space="preserve">to balance the budget. During that time, the Canadian </w:t>
      </w:r>
      <w:r w:rsidR="006260CE" w:rsidRPr="00D55DA8">
        <w:rPr>
          <w:color w:val="000000" w:themeColor="text1"/>
          <w:lang w:val="en-US"/>
        </w:rPr>
        <w:t xml:space="preserve">executive’s </w:t>
      </w:r>
      <w:r w:rsidR="004115EA" w:rsidRPr="00D55DA8">
        <w:rPr>
          <w:lang w:val="en-US"/>
        </w:rPr>
        <w:t xml:space="preserve">approval increased when the budget balance deteriorated, as </w:t>
      </w:r>
      <w:r w:rsidR="00A0519A" w:rsidRPr="00D55DA8">
        <w:rPr>
          <w:lang w:val="en-US"/>
        </w:rPr>
        <w:t>deficits were</w:t>
      </w:r>
      <w:r w:rsidR="0032039E" w:rsidRPr="00D55DA8">
        <w:rPr>
          <w:lang w:val="en-US"/>
        </w:rPr>
        <w:t xml:space="preserve"> used to</w:t>
      </w:r>
      <w:r w:rsidR="004115EA" w:rsidRPr="00D55DA8">
        <w:rPr>
          <w:lang w:val="en-US"/>
        </w:rPr>
        <w:t xml:space="preserve"> reduce taxes or increase spending to please voters. </w:t>
      </w:r>
      <w:r w:rsidR="00CE68D8" w:rsidRPr="00D55DA8">
        <w:rPr>
          <w:lang w:val="en-US"/>
        </w:rPr>
        <w:t>This</w:t>
      </w:r>
      <w:r w:rsidR="004115EA" w:rsidRPr="00D55DA8">
        <w:rPr>
          <w:lang w:val="en-US"/>
        </w:rPr>
        <w:t xml:space="preserve"> fiscal </w:t>
      </w:r>
      <w:r w:rsidR="00DE1A91" w:rsidRPr="00D55DA8">
        <w:rPr>
          <w:lang w:val="en-US"/>
        </w:rPr>
        <w:t xml:space="preserve">policy </w:t>
      </w:r>
      <w:r w:rsidR="004115EA" w:rsidRPr="00D55DA8">
        <w:rPr>
          <w:lang w:val="en-US"/>
        </w:rPr>
        <w:t xml:space="preserve">regime </w:t>
      </w:r>
      <w:r w:rsidR="00CE68D8" w:rsidRPr="00D55DA8">
        <w:rPr>
          <w:lang w:val="en-US"/>
        </w:rPr>
        <w:t xml:space="preserve">that was </w:t>
      </w:r>
      <w:r w:rsidR="004115EA" w:rsidRPr="00D55DA8">
        <w:rPr>
          <w:lang w:val="en-US"/>
        </w:rPr>
        <w:t>continuously producing budget deficit</w:t>
      </w:r>
      <w:r w:rsidR="00087325" w:rsidRPr="00D55DA8">
        <w:rPr>
          <w:lang w:val="en-US"/>
        </w:rPr>
        <w:t>s</w:t>
      </w:r>
      <w:r w:rsidR="004115EA" w:rsidRPr="00D55DA8">
        <w:rPr>
          <w:lang w:val="en-US"/>
        </w:rPr>
        <w:t xml:space="preserve"> matched the public’s deficit bias.</w:t>
      </w:r>
      <w:r w:rsidR="00DE1A91" w:rsidRPr="00D55DA8">
        <w:rPr>
          <w:color w:val="000000"/>
          <w:lang w:val="en-US"/>
        </w:rPr>
        <w:t xml:space="preserve"> By fiscal policy regime, we mean “the configuration of political interests, institutions and policy arrangements that structure conflicts over taxes and </w:t>
      </w:r>
      <w:r w:rsidR="00DE1A91" w:rsidRPr="00D55DA8">
        <w:rPr>
          <w:lang w:val="en-US"/>
        </w:rPr>
        <w:t>spending</w:t>
      </w:r>
      <w:r w:rsidR="007900DB" w:rsidRPr="00D55DA8">
        <w:rPr>
          <w:lang w:val="en-US"/>
        </w:rPr>
        <w:t>”</w:t>
      </w:r>
      <w:r w:rsidR="00DE1A91" w:rsidRPr="00D55DA8">
        <w:rPr>
          <w:lang w:val="en-US"/>
        </w:rPr>
        <w:t xml:space="preserve"> (Pierson 2001: 56</w:t>
      </w:r>
      <w:r w:rsidR="00DE1A91" w:rsidRPr="00D55DA8">
        <w:rPr>
          <w:color w:val="000000"/>
          <w:lang w:val="en-US"/>
        </w:rPr>
        <w:t xml:space="preserve">). </w:t>
      </w:r>
    </w:p>
    <w:p w14:paraId="6FD8294E" w14:textId="37EAEBFC" w:rsidR="00C01A2B" w:rsidRPr="00D55DA8" w:rsidRDefault="004115EA" w:rsidP="00E21C2A">
      <w:pPr>
        <w:autoSpaceDE w:val="0"/>
        <w:autoSpaceDN w:val="0"/>
        <w:adjustRightInd w:val="0"/>
        <w:spacing w:line="480" w:lineRule="auto"/>
        <w:ind w:firstLine="708"/>
        <w:jc w:val="both"/>
        <w:rPr>
          <w:color w:val="000000" w:themeColor="text1"/>
          <w:lang w:val="en-US"/>
        </w:rPr>
      </w:pPr>
      <w:r w:rsidRPr="00D55DA8">
        <w:rPr>
          <w:lang w:val="en-US"/>
        </w:rPr>
        <w:t xml:space="preserve">As the economic crisis of the early 1990s contributed to </w:t>
      </w:r>
      <w:r w:rsidR="00CE68D8" w:rsidRPr="00D55DA8">
        <w:rPr>
          <w:lang w:val="en-US"/>
        </w:rPr>
        <w:t>increas</w:t>
      </w:r>
      <w:r w:rsidR="001F7F25" w:rsidRPr="00D55DA8">
        <w:rPr>
          <w:lang w:val="en-US"/>
        </w:rPr>
        <w:t>e</w:t>
      </w:r>
      <w:r w:rsidRPr="00D55DA8">
        <w:rPr>
          <w:lang w:val="en-US"/>
        </w:rPr>
        <w:t xml:space="preserve"> Canada’s debt and deficit to uns</w:t>
      </w:r>
      <w:r w:rsidR="008622F3" w:rsidRPr="00D55DA8">
        <w:rPr>
          <w:lang w:val="en-US"/>
        </w:rPr>
        <w:t>us</w:t>
      </w:r>
      <w:r w:rsidRPr="00D55DA8">
        <w:rPr>
          <w:lang w:val="en-US"/>
        </w:rPr>
        <w:t xml:space="preserve">tainable levels, the public grew </w:t>
      </w:r>
      <w:r w:rsidR="00125685" w:rsidRPr="00D55DA8">
        <w:rPr>
          <w:lang w:val="en-US"/>
        </w:rPr>
        <w:t>particularly</w:t>
      </w:r>
      <w:r w:rsidRPr="00D55DA8">
        <w:rPr>
          <w:lang w:val="en-US"/>
        </w:rPr>
        <w:t xml:space="preserve"> concerned with the deficit, the discourse shifted in </w:t>
      </w:r>
      <w:proofErr w:type="spellStart"/>
      <w:r w:rsidRPr="00D55DA8">
        <w:rPr>
          <w:lang w:val="en-US"/>
        </w:rPr>
        <w:t>favour</w:t>
      </w:r>
      <w:proofErr w:type="spellEnd"/>
      <w:r w:rsidRPr="00D55DA8">
        <w:rPr>
          <w:lang w:val="en-US"/>
        </w:rPr>
        <w:t xml:space="preserve"> of </w:t>
      </w:r>
      <w:r w:rsidR="00CE68D8" w:rsidRPr="00D55DA8">
        <w:rPr>
          <w:lang w:val="en-US"/>
        </w:rPr>
        <w:t xml:space="preserve">a </w:t>
      </w:r>
      <w:r w:rsidRPr="00D55DA8">
        <w:rPr>
          <w:lang w:val="en-US"/>
        </w:rPr>
        <w:t xml:space="preserve">large-scale </w:t>
      </w:r>
      <w:r w:rsidR="0057198A" w:rsidRPr="00D55DA8">
        <w:rPr>
          <w:lang w:val="en-US"/>
        </w:rPr>
        <w:t>fiscal consolidation</w:t>
      </w:r>
      <w:r w:rsidRPr="00D55DA8">
        <w:rPr>
          <w:lang w:val="en-US"/>
        </w:rPr>
        <w:t xml:space="preserve"> and the newly elected Liberal Party of Canada </w:t>
      </w:r>
      <w:r w:rsidR="00E30257" w:rsidRPr="00D55DA8">
        <w:rPr>
          <w:lang w:val="en-US"/>
        </w:rPr>
        <w:t xml:space="preserve">implemented </w:t>
      </w:r>
      <w:r w:rsidR="00911B55" w:rsidRPr="00D55DA8">
        <w:rPr>
          <w:lang w:val="en-US"/>
        </w:rPr>
        <w:t xml:space="preserve">in 1994-1995 </w:t>
      </w:r>
      <w:r w:rsidR="00E30257" w:rsidRPr="00D55DA8">
        <w:rPr>
          <w:lang w:val="en-US"/>
        </w:rPr>
        <w:t>the toughest austerity measures ever seen in the country</w:t>
      </w:r>
      <w:r w:rsidR="00911B55" w:rsidRPr="00D55DA8">
        <w:rPr>
          <w:lang w:val="en-US"/>
        </w:rPr>
        <w:t xml:space="preserve"> </w:t>
      </w:r>
      <w:r w:rsidR="00D107B1" w:rsidRPr="00D55DA8">
        <w:rPr>
          <w:lang w:val="en-US"/>
        </w:rPr>
        <w:t>(Lewis 2003)</w:t>
      </w:r>
      <w:r w:rsidR="00E30257" w:rsidRPr="00D55DA8">
        <w:rPr>
          <w:lang w:val="en-US"/>
        </w:rPr>
        <w:t xml:space="preserve">. </w:t>
      </w:r>
      <w:r w:rsidRPr="00D55DA8">
        <w:rPr>
          <w:lang w:val="en-US"/>
        </w:rPr>
        <w:t xml:space="preserve">This </w:t>
      </w:r>
      <w:r w:rsidR="00E30257" w:rsidRPr="00D55DA8">
        <w:rPr>
          <w:lang w:val="en-US"/>
        </w:rPr>
        <w:t>reflected</w:t>
      </w:r>
      <w:r w:rsidRPr="00D55DA8">
        <w:rPr>
          <w:lang w:val="en-US"/>
        </w:rPr>
        <w:t xml:space="preserve"> </w:t>
      </w:r>
      <w:r w:rsidR="00E30257" w:rsidRPr="00D55DA8">
        <w:rPr>
          <w:lang w:val="en-US"/>
        </w:rPr>
        <w:t xml:space="preserve">a paradigm shift </w:t>
      </w:r>
      <w:r w:rsidRPr="00D55DA8">
        <w:rPr>
          <w:lang w:val="en-US"/>
        </w:rPr>
        <w:t>towards a fiscal policy regime prioritizing austerity measures</w:t>
      </w:r>
      <w:r w:rsidR="00CE68D8" w:rsidRPr="00D55DA8">
        <w:rPr>
          <w:lang w:val="en-US"/>
        </w:rPr>
        <w:t xml:space="preserve"> to balance budgets</w:t>
      </w:r>
      <w:r w:rsidR="00DE1A91" w:rsidRPr="00D55DA8">
        <w:rPr>
          <w:lang w:val="en-US"/>
        </w:rPr>
        <w:t xml:space="preserve"> (Hall 1993)</w:t>
      </w:r>
      <w:r w:rsidR="003A312A" w:rsidRPr="00D55DA8">
        <w:rPr>
          <w:lang w:val="en-US"/>
        </w:rPr>
        <w:t xml:space="preserve">. This new fiscal policy paradigm created </w:t>
      </w:r>
      <w:r w:rsidR="00E30257" w:rsidRPr="00D55DA8">
        <w:rPr>
          <w:lang w:val="en-US"/>
        </w:rPr>
        <w:t>one</w:t>
      </w:r>
      <w:r w:rsidRPr="00D55DA8">
        <w:rPr>
          <w:lang w:val="en-US"/>
        </w:rPr>
        <w:t xml:space="preserve"> of the longest </w:t>
      </w:r>
      <w:r w:rsidR="0057198A" w:rsidRPr="00D55DA8">
        <w:rPr>
          <w:lang w:val="en-US"/>
        </w:rPr>
        <w:t>periods</w:t>
      </w:r>
      <w:r w:rsidRPr="00D55DA8">
        <w:rPr>
          <w:lang w:val="en-US"/>
        </w:rPr>
        <w:t xml:space="preserve"> of </w:t>
      </w:r>
      <w:r w:rsidR="00E30257" w:rsidRPr="00D55DA8">
        <w:rPr>
          <w:lang w:val="en-US"/>
        </w:rPr>
        <w:t xml:space="preserve">budget </w:t>
      </w:r>
      <w:r w:rsidRPr="00D55DA8">
        <w:rPr>
          <w:lang w:val="en-US"/>
        </w:rPr>
        <w:t xml:space="preserve">surpluses achieved by an OECD country since the end of the </w:t>
      </w:r>
      <w:proofErr w:type="spellStart"/>
      <w:r w:rsidRPr="00D55DA8">
        <w:rPr>
          <w:i/>
          <w:iCs/>
          <w:lang w:val="en-US"/>
        </w:rPr>
        <w:t>Trente</w:t>
      </w:r>
      <w:proofErr w:type="spellEnd"/>
      <w:r w:rsidRPr="00D55DA8">
        <w:rPr>
          <w:i/>
          <w:iCs/>
          <w:lang w:val="en-US"/>
        </w:rPr>
        <w:t xml:space="preserve"> </w:t>
      </w:r>
      <w:proofErr w:type="spellStart"/>
      <w:r w:rsidRPr="00D55DA8">
        <w:rPr>
          <w:i/>
          <w:iCs/>
          <w:lang w:val="en-US"/>
        </w:rPr>
        <w:t>Glorieuses</w:t>
      </w:r>
      <w:proofErr w:type="spellEnd"/>
      <w:r w:rsidRPr="00D55DA8">
        <w:rPr>
          <w:i/>
          <w:iCs/>
          <w:lang w:val="en-US"/>
        </w:rPr>
        <w:t xml:space="preserve"> </w:t>
      </w:r>
      <w:r w:rsidRPr="00D55DA8">
        <w:rPr>
          <w:lang w:val="en-US"/>
        </w:rPr>
        <w:t>(</w:t>
      </w:r>
      <w:proofErr w:type="spellStart"/>
      <w:r w:rsidRPr="00D55DA8">
        <w:rPr>
          <w:lang w:val="en-US"/>
        </w:rPr>
        <w:t>Haffert</w:t>
      </w:r>
      <w:proofErr w:type="spellEnd"/>
      <w:r w:rsidRPr="00D55DA8">
        <w:rPr>
          <w:lang w:val="en-US"/>
        </w:rPr>
        <w:t xml:space="preserve"> 2019). We show that since </w:t>
      </w:r>
      <w:r w:rsidR="00B43483" w:rsidRPr="00D55DA8">
        <w:rPr>
          <w:lang w:val="en-US"/>
        </w:rPr>
        <w:t xml:space="preserve">the election of the Liberal government </w:t>
      </w:r>
      <w:r w:rsidR="0057198A" w:rsidRPr="00D55DA8">
        <w:rPr>
          <w:lang w:val="en-US"/>
        </w:rPr>
        <w:t xml:space="preserve">led by Jean Chrétien </w:t>
      </w:r>
      <w:r w:rsidR="00B43483" w:rsidRPr="00D55DA8">
        <w:rPr>
          <w:lang w:val="en-US"/>
        </w:rPr>
        <w:t xml:space="preserve">in 1993, </w:t>
      </w:r>
      <w:proofErr w:type="gramStart"/>
      <w:r w:rsidR="00B43483" w:rsidRPr="00D55DA8">
        <w:rPr>
          <w:lang w:val="en-US"/>
        </w:rPr>
        <w:t>Canadians</w:t>
      </w:r>
      <w:proofErr w:type="gramEnd"/>
      <w:r w:rsidR="00B43483" w:rsidRPr="00D55DA8">
        <w:rPr>
          <w:lang w:val="en-US"/>
        </w:rPr>
        <w:t xml:space="preserve"> reward governments for a reduction of the deficit. </w:t>
      </w:r>
      <w:r w:rsidR="00B43483" w:rsidRPr="00D55DA8">
        <w:rPr>
          <w:color w:val="000000" w:themeColor="text1"/>
          <w:lang w:val="en-US"/>
        </w:rPr>
        <w:t xml:space="preserve">These </w:t>
      </w:r>
      <w:r w:rsidR="00EA042C" w:rsidRPr="00D55DA8">
        <w:rPr>
          <w:color w:val="000000" w:themeColor="text1"/>
          <w:lang w:val="en-US"/>
        </w:rPr>
        <w:t xml:space="preserve">results </w:t>
      </w:r>
      <w:r w:rsidR="00B43483" w:rsidRPr="00D55DA8">
        <w:rPr>
          <w:color w:val="000000" w:themeColor="text1"/>
          <w:lang w:val="en-US"/>
        </w:rPr>
        <w:t>suggest that the government’s austerity discourse and actions</w:t>
      </w:r>
      <w:r w:rsidR="00911B55" w:rsidRPr="00D55DA8">
        <w:rPr>
          <w:color w:val="000000" w:themeColor="text1"/>
          <w:lang w:val="en-US"/>
        </w:rPr>
        <w:t xml:space="preserve"> </w:t>
      </w:r>
      <w:r w:rsidR="00B43483" w:rsidRPr="00D55DA8">
        <w:rPr>
          <w:color w:val="000000" w:themeColor="text1"/>
          <w:lang w:val="en-US"/>
        </w:rPr>
        <w:t xml:space="preserve">have convinced a significant proportion of Canadians of the purported benefits of a balanced federal budget. </w:t>
      </w:r>
    </w:p>
    <w:p w14:paraId="4B358E82" w14:textId="31933C2C" w:rsidR="00DA138C" w:rsidRPr="00D55DA8" w:rsidRDefault="00DA138C" w:rsidP="00E21C2A">
      <w:pPr>
        <w:autoSpaceDE w:val="0"/>
        <w:autoSpaceDN w:val="0"/>
        <w:adjustRightInd w:val="0"/>
        <w:spacing w:line="480" w:lineRule="auto"/>
        <w:ind w:firstLine="708"/>
        <w:jc w:val="both"/>
        <w:rPr>
          <w:color w:val="000000" w:themeColor="text1"/>
          <w:lang w:val="en-US"/>
        </w:rPr>
      </w:pPr>
      <w:r w:rsidRPr="00D55DA8">
        <w:rPr>
          <w:color w:val="000000" w:themeColor="text1"/>
          <w:lang w:val="en-US"/>
        </w:rPr>
        <w:t>We cannot disentangle the causal ordering between public opinion and policy paradigms</w:t>
      </w:r>
      <w:r w:rsidR="00E21C2A" w:rsidRPr="00D55DA8">
        <w:rPr>
          <w:color w:val="000000" w:themeColor="text1"/>
          <w:lang w:val="en-US"/>
        </w:rPr>
        <w:t>.</w:t>
      </w:r>
      <w:r w:rsidRPr="00D55DA8">
        <w:rPr>
          <w:color w:val="000000" w:themeColor="text1"/>
          <w:lang w:val="en-US"/>
        </w:rPr>
        <w:t xml:space="preserve"> </w:t>
      </w:r>
      <w:r w:rsidR="00E21C2A" w:rsidRPr="00D55DA8">
        <w:rPr>
          <w:color w:val="000000" w:themeColor="text1"/>
          <w:lang w:val="en-US"/>
        </w:rPr>
        <w:t>W</w:t>
      </w:r>
      <w:r w:rsidRPr="00D55DA8">
        <w:rPr>
          <w:color w:val="000000" w:themeColor="text1"/>
          <w:lang w:val="en-US"/>
        </w:rPr>
        <w:t>e know from previous research that a</w:t>
      </w:r>
      <w:r w:rsidR="00C01A2B" w:rsidRPr="00D55DA8">
        <w:rPr>
          <w:color w:val="000000" w:themeColor="text1"/>
          <w:lang w:val="en-US"/>
        </w:rPr>
        <w:t xml:space="preserve"> significant support from </w:t>
      </w:r>
      <w:r w:rsidRPr="00D55DA8">
        <w:rPr>
          <w:color w:val="000000" w:themeColor="text1"/>
          <w:lang w:val="en-US"/>
        </w:rPr>
        <w:t>influential</w:t>
      </w:r>
      <w:r w:rsidR="00C01A2B" w:rsidRPr="00D55DA8">
        <w:rPr>
          <w:color w:val="000000" w:themeColor="text1"/>
          <w:lang w:val="en-US"/>
        </w:rPr>
        <w:t xml:space="preserve"> segments of the public and of interest groups is necessary to implement large changes in fiscal policies (</w:t>
      </w:r>
      <w:proofErr w:type="spellStart"/>
      <w:r w:rsidR="00C01A2B" w:rsidRPr="00D55DA8">
        <w:rPr>
          <w:color w:val="000000" w:themeColor="text1"/>
          <w:lang w:val="en-US"/>
        </w:rPr>
        <w:t>Barta</w:t>
      </w:r>
      <w:proofErr w:type="spellEnd"/>
      <w:r w:rsidR="00C01A2B" w:rsidRPr="00D55DA8">
        <w:rPr>
          <w:color w:val="000000" w:themeColor="text1"/>
          <w:lang w:val="en-US"/>
        </w:rPr>
        <w:t xml:space="preserve"> 2018; </w:t>
      </w:r>
      <w:proofErr w:type="spellStart"/>
      <w:r w:rsidR="00C01A2B" w:rsidRPr="00D55DA8">
        <w:rPr>
          <w:color w:val="000000" w:themeColor="text1"/>
          <w:lang w:val="en-US"/>
        </w:rPr>
        <w:t>Haffert</w:t>
      </w:r>
      <w:proofErr w:type="spellEnd"/>
      <w:r w:rsidR="00C01A2B" w:rsidRPr="00D55DA8">
        <w:rPr>
          <w:color w:val="000000" w:themeColor="text1"/>
          <w:lang w:val="en-US"/>
        </w:rPr>
        <w:t xml:space="preserve"> 2019).</w:t>
      </w:r>
      <w:r w:rsidRPr="00D55DA8">
        <w:rPr>
          <w:color w:val="000000" w:themeColor="text1"/>
          <w:lang w:val="en-US"/>
        </w:rPr>
        <w:t xml:space="preserve"> </w:t>
      </w:r>
      <w:r w:rsidR="00E21C2A" w:rsidRPr="00D55DA8">
        <w:rPr>
          <w:color w:val="000000" w:themeColor="text1"/>
          <w:lang w:val="en-US"/>
        </w:rPr>
        <w:t>Yet, we</w:t>
      </w:r>
      <w:r w:rsidRPr="00D55DA8">
        <w:rPr>
          <w:color w:val="000000" w:themeColor="text1"/>
          <w:lang w:val="en-US"/>
        </w:rPr>
        <w:t xml:space="preserve"> contribute to comparative political economy research by showing </w:t>
      </w:r>
      <w:r w:rsidR="007900DB" w:rsidRPr="00D55DA8">
        <w:rPr>
          <w:color w:val="000000" w:themeColor="text1"/>
          <w:lang w:val="en-US"/>
        </w:rPr>
        <w:t xml:space="preserve">that </w:t>
      </w:r>
      <w:r w:rsidRPr="00D55DA8">
        <w:rPr>
          <w:color w:val="000000" w:themeColor="text1"/>
          <w:lang w:val="en-US"/>
        </w:rPr>
        <w:t>once fiscal regimes are put in</w:t>
      </w:r>
      <w:r w:rsidR="007900DB" w:rsidRPr="00D55DA8">
        <w:rPr>
          <w:color w:val="000000" w:themeColor="text1"/>
          <w:lang w:val="en-US"/>
        </w:rPr>
        <w:t>to</w:t>
      </w:r>
      <w:r w:rsidRPr="00D55DA8">
        <w:rPr>
          <w:color w:val="000000" w:themeColor="text1"/>
          <w:lang w:val="en-US"/>
        </w:rPr>
        <w:t xml:space="preserve"> place, there is </w:t>
      </w:r>
      <w:proofErr w:type="gramStart"/>
      <w:r w:rsidR="00E21C2A" w:rsidRPr="00D55DA8">
        <w:rPr>
          <w:color w:val="000000" w:themeColor="text1"/>
          <w:lang w:val="en-US"/>
        </w:rPr>
        <w:t>a self-reinforcing feedback</w:t>
      </w:r>
      <w:proofErr w:type="gramEnd"/>
      <w:r w:rsidRPr="00D55DA8">
        <w:rPr>
          <w:color w:val="000000" w:themeColor="text1"/>
          <w:lang w:val="en-US"/>
        </w:rPr>
        <w:t xml:space="preserve"> between public opinion and the policy paradigm, as shifts in policy paradigms are associated with changes in public opinion.</w:t>
      </w:r>
    </w:p>
    <w:p w14:paraId="0A835C83" w14:textId="4755C6E9" w:rsidR="00765FBB" w:rsidRPr="00D55DA8" w:rsidRDefault="00B43483" w:rsidP="00E21C2A">
      <w:pPr>
        <w:autoSpaceDE w:val="0"/>
        <w:autoSpaceDN w:val="0"/>
        <w:adjustRightInd w:val="0"/>
        <w:spacing w:line="480" w:lineRule="auto"/>
        <w:ind w:firstLine="708"/>
        <w:jc w:val="both"/>
        <w:rPr>
          <w:color w:val="000000" w:themeColor="text1"/>
          <w:lang w:val="en-US"/>
        </w:rPr>
      </w:pPr>
      <w:r w:rsidRPr="00D55DA8">
        <w:rPr>
          <w:lang w:val="en-US"/>
        </w:rPr>
        <w:t xml:space="preserve">This research note also contributes to studies of economic voting in Canada. </w:t>
      </w:r>
      <w:r w:rsidR="00D61D03" w:rsidRPr="00D55DA8">
        <w:rPr>
          <w:lang w:val="en-US"/>
        </w:rPr>
        <w:t>F</w:t>
      </w:r>
      <w:r w:rsidR="002A3C00" w:rsidRPr="00D55DA8">
        <w:rPr>
          <w:color w:val="000000" w:themeColor="text1"/>
          <w:lang w:val="en-US"/>
        </w:rPr>
        <w:t>or the first time in Canada</w:t>
      </w:r>
      <w:r w:rsidR="00C87A50" w:rsidRPr="00D55DA8">
        <w:rPr>
          <w:color w:val="000000" w:themeColor="text1"/>
          <w:lang w:val="en-US"/>
        </w:rPr>
        <w:t>,</w:t>
      </w:r>
      <w:r w:rsidR="002A3C00" w:rsidRPr="00D55DA8">
        <w:rPr>
          <w:color w:val="000000" w:themeColor="text1"/>
          <w:lang w:val="en-US"/>
        </w:rPr>
        <w:t xml:space="preserve"> </w:t>
      </w:r>
      <w:r w:rsidR="00D61D03" w:rsidRPr="00D55DA8">
        <w:rPr>
          <w:color w:val="000000" w:themeColor="text1"/>
          <w:lang w:val="en-US"/>
        </w:rPr>
        <w:t xml:space="preserve">we </w:t>
      </w:r>
      <w:r w:rsidR="007900DB" w:rsidRPr="00D55DA8">
        <w:rPr>
          <w:color w:val="000000" w:themeColor="text1"/>
          <w:lang w:val="en-US"/>
        </w:rPr>
        <w:t xml:space="preserve">use </w:t>
      </w:r>
      <w:r w:rsidR="00D61D03" w:rsidRPr="00D55DA8">
        <w:rPr>
          <w:color w:val="000000" w:themeColor="text1"/>
          <w:lang w:val="en-US"/>
        </w:rPr>
        <w:t>both fiscal and economic variables a</w:t>
      </w:r>
      <w:r w:rsidR="007900DB" w:rsidRPr="00D55DA8">
        <w:rPr>
          <w:color w:val="000000" w:themeColor="text1"/>
          <w:lang w:val="en-US"/>
        </w:rPr>
        <w:t xml:space="preserve">s well as </w:t>
      </w:r>
      <w:r w:rsidR="002A3C00" w:rsidRPr="00D55DA8">
        <w:rPr>
          <w:color w:val="000000" w:themeColor="text1"/>
          <w:lang w:val="en-US"/>
        </w:rPr>
        <w:t xml:space="preserve">a direct measure of </w:t>
      </w:r>
      <w:r w:rsidR="006260CE" w:rsidRPr="00D55DA8">
        <w:rPr>
          <w:color w:val="000000" w:themeColor="text1"/>
          <w:lang w:val="en-US"/>
        </w:rPr>
        <w:t xml:space="preserve">executive </w:t>
      </w:r>
      <w:r w:rsidR="002A3C00" w:rsidRPr="00D55DA8">
        <w:rPr>
          <w:color w:val="000000" w:themeColor="text1"/>
          <w:lang w:val="en-US"/>
        </w:rPr>
        <w:t>approval</w:t>
      </w:r>
      <w:r w:rsidR="001C3C98" w:rsidRPr="00D55DA8">
        <w:rPr>
          <w:color w:val="000000" w:themeColor="text1"/>
          <w:lang w:val="en-US"/>
        </w:rPr>
        <w:t xml:space="preserve"> to </w:t>
      </w:r>
      <w:r w:rsidR="001C3C98" w:rsidRPr="00D55DA8">
        <w:rPr>
          <w:color w:val="000000" w:themeColor="text1"/>
          <w:lang w:val="en-US"/>
        </w:rPr>
        <w:lastRenderedPageBreak/>
        <w:t xml:space="preserve">model a popularity function </w:t>
      </w:r>
      <w:r w:rsidR="007900DB" w:rsidRPr="00D55DA8">
        <w:rPr>
          <w:color w:val="000000" w:themeColor="text1"/>
          <w:lang w:val="en-US"/>
        </w:rPr>
        <w:t xml:space="preserve">for the period </w:t>
      </w:r>
      <w:r w:rsidR="001C3C98" w:rsidRPr="00D55DA8">
        <w:rPr>
          <w:color w:val="000000" w:themeColor="text1"/>
          <w:lang w:val="en-US"/>
        </w:rPr>
        <w:t>1978</w:t>
      </w:r>
      <w:r w:rsidR="007900DB" w:rsidRPr="00D55DA8">
        <w:rPr>
          <w:color w:val="000000" w:themeColor="text1"/>
          <w:lang w:val="en-US"/>
        </w:rPr>
        <w:t>-</w:t>
      </w:r>
      <w:r w:rsidR="001C3C98" w:rsidRPr="00D55DA8">
        <w:rPr>
          <w:color w:val="000000" w:themeColor="text1"/>
          <w:lang w:val="en-US"/>
        </w:rPr>
        <w:t>2018</w:t>
      </w:r>
      <w:r w:rsidR="002A3C00" w:rsidRPr="00D55DA8">
        <w:rPr>
          <w:color w:val="000000" w:themeColor="text1"/>
          <w:lang w:val="en-US"/>
        </w:rPr>
        <w:t>.</w:t>
      </w:r>
      <w:r w:rsidR="00D107B1" w:rsidRPr="00D55DA8">
        <w:rPr>
          <w:color w:val="000000" w:themeColor="text1"/>
          <w:lang w:val="en-US"/>
        </w:rPr>
        <w:t xml:space="preserve"> </w:t>
      </w:r>
      <w:r w:rsidR="002A3C00" w:rsidRPr="00D55DA8">
        <w:rPr>
          <w:color w:val="000000" w:themeColor="text1"/>
          <w:lang w:val="en-US"/>
        </w:rPr>
        <w:t>Extant studies of the Canadian popularity function have all relied, so far, on vote intention data as a measure of executive popularity</w:t>
      </w:r>
      <w:r w:rsidR="00D107B1" w:rsidRPr="00D55DA8">
        <w:rPr>
          <w:color w:val="000000" w:themeColor="text1"/>
          <w:lang w:val="en-US"/>
        </w:rPr>
        <w:t xml:space="preserve">. </w:t>
      </w:r>
      <w:r w:rsidR="007351AF" w:rsidRPr="00D55DA8">
        <w:rPr>
          <w:color w:val="000000" w:themeColor="text1"/>
          <w:lang w:val="en-US"/>
        </w:rPr>
        <w:t xml:space="preserve">Yet, we know that vote intention and approval are not </w:t>
      </w:r>
      <w:proofErr w:type="gramStart"/>
      <w:r w:rsidR="007351AF" w:rsidRPr="00D55DA8">
        <w:rPr>
          <w:color w:val="000000" w:themeColor="text1"/>
          <w:lang w:val="en-US"/>
        </w:rPr>
        <w:t>exactly the same</w:t>
      </w:r>
      <w:proofErr w:type="gramEnd"/>
      <w:r w:rsidR="00CE68D8" w:rsidRPr="00D55DA8">
        <w:rPr>
          <w:color w:val="000000" w:themeColor="text1"/>
          <w:lang w:val="en-US"/>
        </w:rPr>
        <w:t xml:space="preserve">, the former being less volatile but more dependent on the alternatives offered by other parties </w:t>
      </w:r>
      <w:r w:rsidR="007351AF" w:rsidRPr="00D55DA8">
        <w:rPr>
          <w:color w:val="000000" w:themeColor="text1"/>
          <w:lang w:val="en-US"/>
        </w:rPr>
        <w:t>(Pickup 2010</w:t>
      </w:r>
      <w:r w:rsidR="00CE68D8" w:rsidRPr="00D55DA8">
        <w:rPr>
          <w:color w:val="000000" w:themeColor="text1"/>
          <w:lang w:val="en-US"/>
        </w:rPr>
        <w:t>)</w:t>
      </w:r>
      <w:r w:rsidR="007351AF" w:rsidRPr="00D55DA8">
        <w:rPr>
          <w:color w:val="000000" w:themeColor="text1"/>
          <w:lang w:val="en-US"/>
        </w:rPr>
        <w:t xml:space="preserve">. </w:t>
      </w:r>
      <w:r w:rsidR="00D107B1" w:rsidRPr="00D55DA8">
        <w:rPr>
          <w:color w:val="000000" w:themeColor="text1"/>
          <w:lang w:val="en-US"/>
        </w:rPr>
        <w:t>T</w:t>
      </w:r>
      <w:r w:rsidR="002A3C00" w:rsidRPr="00D55DA8">
        <w:rPr>
          <w:color w:val="000000" w:themeColor="text1"/>
          <w:lang w:val="en-US"/>
        </w:rPr>
        <w:t>hanks to the data collection efforts of the Executive Approval Project (EAP)</w:t>
      </w:r>
      <w:r w:rsidR="00D107B1" w:rsidRPr="00D55DA8">
        <w:rPr>
          <w:color w:val="000000" w:themeColor="text1"/>
          <w:lang w:val="en-US"/>
        </w:rPr>
        <w:t>,</w:t>
      </w:r>
      <w:r w:rsidR="002A3C00" w:rsidRPr="00D55DA8">
        <w:rPr>
          <w:color w:val="000000" w:themeColor="text1"/>
          <w:lang w:val="en-US"/>
        </w:rPr>
        <w:t xml:space="preserve"> we now have for Canada an indicator of </w:t>
      </w:r>
      <w:r w:rsidR="00C86216" w:rsidRPr="00D55DA8">
        <w:rPr>
          <w:i/>
          <w:iCs/>
          <w:color w:val="000000" w:themeColor="text1"/>
          <w:lang w:val="en-US"/>
        </w:rPr>
        <w:t xml:space="preserve">net </w:t>
      </w:r>
      <w:r w:rsidR="006260CE" w:rsidRPr="00D55DA8">
        <w:rPr>
          <w:i/>
          <w:iCs/>
          <w:color w:val="000000" w:themeColor="text1"/>
          <w:lang w:val="en-US"/>
        </w:rPr>
        <w:t>executive</w:t>
      </w:r>
      <w:r w:rsidR="00C86216" w:rsidRPr="00D55DA8">
        <w:rPr>
          <w:i/>
          <w:iCs/>
          <w:color w:val="000000" w:themeColor="text1"/>
          <w:lang w:val="en-US"/>
        </w:rPr>
        <w:t xml:space="preserve"> </w:t>
      </w:r>
      <w:r w:rsidR="002A3C00" w:rsidRPr="00D55DA8">
        <w:rPr>
          <w:i/>
          <w:iCs/>
          <w:color w:val="000000" w:themeColor="text1"/>
          <w:lang w:val="en-US"/>
        </w:rPr>
        <w:t>approval</w:t>
      </w:r>
      <w:r w:rsidR="00D107B1" w:rsidRPr="00D55DA8">
        <w:rPr>
          <w:color w:val="000000" w:themeColor="text1"/>
          <w:lang w:val="en-US"/>
        </w:rPr>
        <w:t xml:space="preserve">, </w:t>
      </w:r>
      <w:r w:rsidR="002A3C00" w:rsidRPr="00D55DA8">
        <w:rPr>
          <w:color w:val="000000" w:themeColor="text1"/>
          <w:lang w:val="en-US"/>
        </w:rPr>
        <w:t>bring</w:t>
      </w:r>
      <w:r w:rsidR="00D107B1" w:rsidRPr="00D55DA8">
        <w:rPr>
          <w:color w:val="000000" w:themeColor="text1"/>
          <w:lang w:val="en-US"/>
        </w:rPr>
        <w:t>ing</w:t>
      </w:r>
      <w:r w:rsidR="002A3C00" w:rsidRPr="00D55DA8">
        <w:rPr>
          <w:color w:val="000000" w:themeColor="text1"/>
          <w:lang w:val="en-US"/>
        </w:rPr>
        <w:t xml:space="preserve"> our popularity function work more in line with the relevant comparative literature. </w:t>
      </w:r>
      <w:r w:rsidR="00E94BAE" w:rsidRPr="00D55DA8">
        <w:rPr>
          <w:color w:val="000000" w:themeColor="text1"/>
          <w:lang w:val="en-US"/>
        </w:rPr>
        <w:t>We show that a higher unemployment rate reduces approval, but only in the 1970s and 1980s.</w:t>
      </w:r>
    </w:p>
    <w:p w14:paraId="737D7478" w14:textId="2B932FF9" w:rsidR="00611D9E" w:rsidRPr="00D55DA8" w:rsidRDefault="00D107B1" w:rsidP="00E21C2A">
      <w:pPr>
        <w:spacing w:line="480" w:lineRule="auto"/>
        <w:ind w:firstLine="708"/>
        <w:jc w:val="both"/>
        <w:rPr>
          <w:lang w:val="en-US"/>
        </w:rPr>
      </w:pPr>
      <w:r w:rsidRPr="00D55DA8">
        <w:rPr>
          <w:lang w:val="en-US"/>
        </w:rPr>
        <w:t xml:space="preserve">After a brief </w:t>
      </w:r>
      <w:r w:rsidR="008D5885" w:rsidRPr="00D55DA8">
        <w:rPr>
          <w:lang w:val="en-US"/>
        </w:rPr>
        <w:t xml:space="preserve">overview </w:t>
      </w:r>
      <w:r w:rsidRPr="00D55DA8">
        <w:rPr>
          <w:lang w:val="en-US"/>
        </w:rPr>
        <w:t xml:space="preserve">of studies of </w:t>
      </w:r>
      <w:r w:rsidR="00B43483" w:rsidRPr="00D55DA8">
        <w:rPr>
          <w:lang w:val="en-US"/>
        </w:rPr>
        <w:t>economic voting in Canada</w:t>
      </w:r>
      <w:r w:rsidR="003417AD" w:rsidRPr="00D55DA8">
        <w:rPr>
          <w:lang w:val="en-US"/>
        </w:rPr>
        <w:t xml:space="preserve"> in the next section</w:t>
      </w:r>
      <w:r w:rsidR="00B43483" w:rsidRPr="00D55DA8">
        <w:rPr>
          <w:lang w:val="en-US"/>
        </w:rPr>
        <w:t xml:space="preserve">, </w:t>
      </w:r>
      <w:r w:rsidRPr="00D55DA8">
        <w:rPr>
          <w:lang w:val="en-US"/>
        </w:rPr>
        <w:t>we</w:t>
      </w:r>
      <w:r w:rsidR="006B57AD" w:rsidRPr="00D55DA8">
        <w:rPr>
          <w:lang w:val="en-US"/>
        </w:rPr>
        <w:t xml:space="preserve"> present our main argument about the</w:t>
      </w:r>
      <w:r w:rsidR="00D61D03" w:rsidRPr="00D55DA8">
        <w:rPr>
          <w:lang w:val="en-US"/>
        </w:rPr>
        <w:t xml:space="preserve"> relationship between </w:t>
      </w:r>
      <w:r w:rsidR="006B57AD" w:rsidRPr="00D55DA8">
        <w:rPr>
          <w:lang w:val="en-US"/>
        </w:rPr>
        <w:t xml:space="preserve">the shift of fiscal policy regime </w:t>
      </w:r>
      <w:r w:rsidR="00D61D03" w:rsidRPr="00D55DA8">
        <w:rPr>
          <w:lang w:val="en-US"/>
        </w:rPr>
        <w:t>and</w:t>
      </w:r>
      <w:r w:rsidR="006B57AD" w:rsidRPr="00D55DA8">
        <w:rPr>
          <w:lang w:val="en-US"/>
        </w:rPr>
        <w:t xml:space="preserve"> public opinion. The third section presents the data and model</w:t>
      </w:r>
      <w:r w:rsidR="008622F3" w:rsidRPr="00D55DA8">
        <w:rPr>
          <w:lang w:val="en-US"/>
        </w:rPr>
        <w:t>l</w:t>
      </w:r>
      <w:r w:rsidR="006B57AD" w:rsidRPr="00D55DA8">
        <w:rPr>
          <w:lang w:val="en-US"/>
        </w:rPr>
        <w:t xml:space="preserve">ing strategy, while the fourth section </w:t>
      </w:r>
      <w:r w:rsidR="003417AD" w:rsidRPr="00D55DA8">
        <w:rPr>
          <w:lang w:val="en-US"/>
        </w:rPr>
        <w:t>displays</w:t>
      </w:r>
      <w:r w:rsidR="006B57AD" w:rsidRPr="00D55DA8">
        <w:rPr>
          <w:lang w:val="en-US"/>
        </w:rPr>
        <w:t xml:space="preserve"> the </w:t>
      </w:r>
      <w:r w:rsidR="003A312A" w:rsidRPr="00D55DA8">
        <w:rPr>
          <w:lang w:val="en-US"/>
        </w:rPr>
        <w:t xml:space="preserve">results, and the fifth section concludes. </w:t>
      </w:r>
    </w:p>
    <w:p w14:paraId="669EE92F" w14:textId="79648DE2" w:rsidR="00611D9E" w:rsidRPr="00D55DA8" w:rsidRDefault="00611D9E" w:rsidP="00E21C2A">
      <w:pPr>
        <w:spacing w:line="480" w:lineRule="auto"/>
        <w:rPr>
          <w:lang w:val="en-US"/>
        </w:rPr>
      </w:pPr>
    </w:p>
    <w:p w14:paraId="687E605B" w14:textId="246FE06F" w:rsidR="00D107B1" w:rsidRPr="00D55DA8" w:rsidRDefault="003417AD" w:rsidP="00E21C2A">
      <w:pPr>
        <w:spacing w:line="480" w:lineRule="auto"/>
        <w:rPr>
          <w:b/>
          <w:bCs/>
          <w:lang w:val="en-US"/>
        </w:rPr>
      </w:pPr>
      <w:r w:rsidRPr="00D55DA8">
        <w:rPr>
          <w:b/>
          <w:bCs/>
          <w:lang w:val="en-US"/>
        </w:rPr>
        <w:t>Fiscal</w:t>
      </w:r>
      <w:r w:rsidR="00D107B1" w:rsidRPr="00D55DA8">
        <w:rPr>
          <w:b/>
          <w:bCs/>
          <w:lang w:val="en-US"/>
        </w:rPr>
        <w:t xml:space="preserve"> policy regimes and public opinion</w:t>
      </w:r>
    </w:p>
    <w:p w14:paraId="7A6B60F0" w14:textId="0472C45D" w:rsidR="00611D9E" w:rsidRPr="00D55DA8" w:rsidRDefault="00611D9E" w:rsidP="00E21C2A">
      <w:pPr>
        <w:spacing w:line="480" w:lineRule="auto"/>
        <w:rPr>
          <w:b/>
          <w:bCs/>
          <w:lang w:val="en-US"/>
        </w:rPr>
      </w:pPr>
    </w:p>
    <w:p w14:paraId="4D47A503" w14:textId="5920464E" w:rsidR="002A3C00" w:rsidRPr="00D55DA8" w:rsidRDefault="002A3C00" w:rsidP="00E21C2A">
      <w:pPr>
        <w:spacing w:line="480" w:lineRule="auto"/>
        <w:jc w:val="both"/>
        <w:rPr>
          <w:color w:val="000000" w:themeColor="text1"/>
          <w:lang w:val="en-US"/>
        </w:rPr>
      </w:pPr>
      <w:r w:rsidRPr="00D55DA8">
        <w:rPr>
          <w:color w:val="000000" w:themeColor="text1"/>
          <w:lang w:val="en-US"/>
        </w:rPr>
        <w:t>Citizens evaluate the performance of the executive and reward the sitting government with their support if its performance is deemed positive, that is, if the economic and political outcomes of government policy are congruent with the general preferences of the population. Conversely, citizens will withdraw their support of the executive to punish what they consider to be bad performance. This relationship between policy performance and public support thus constitutes a mechanism of government accountability which ought to be considered as an important underpinning of a healthy democracy</w:t>
      </w:r>
      <w:r w:rsidR="00BE1C2F" w:rsidRPr="00D55DA8">
        <w:rPr>
          <w:color w:val="000000" w:themeColor="text1"/>
          <w:lang w:val="en-US"/>
        </w:rPr>
        <w:t xml:space="preserve"> (Key 1966)</w:t>
      </w:r>
      <w:r w:rsidRPr="00D55DA8">
        <w:rPr>
          <w:color w:val="000000" w:themeColor="text1"/>
          <w:lang w:val="en-US"/>
        </w:rPr>
        <w:t>.</w:t>
      </w:r>
    </w:p>
    <w:p w14:paraId="349D4A6C" w14:textId="2A645B70" w:rsidR="00180A43" w:rsidRPr="00D55DA8" w:rsidRDefault="002A3C00" w:rsidP="00E21C2A">
      <w:pPr>
        <w:autoSpaceDE w:val="0"/>
        <w:autoSpaceDN w:val="0"/>
        <w:adjustRightInd w:val="0"/>
        <w:spacing w:line="480" w:lineRule="auto"/>
        <w:ind w:firstLine="708"/>
        <w:jc w:val="both"/>
        <w:rPr>
          <w:color w:val="000000" w:themeColor="text1"/>
          <w:lang w:val="en-US"/>
        </w:rPr>
      </w:pPr>
      <w:r w:rsidRPr="00D55DA8">
        <w:rPr>
          <w:color w:val="000000" w:themeColor="text1"/>
          <w:lang w:val="en-US"/>
        </w:rPr>
        <w:t>In Canada, at the federal level, several studies of economic voting, using either individual-level data (</w:t>
      </w:r>
      <w:r w:rsidR="00A46215" w:rsidRPr="00D55DA8">
        <w:rPr>
          <w:color w:val="000000" w:themeColor="text1"/>
          <w:lang w:val="en-US"/>
        </w:rPr>
        <w:t xml:space="preserve">e.g., </w:t>
      </w:r>
      <w:r w:rsidRPr="00D55DA8">
        <w:rPr>
          <w:color w:val="000000" w:themeColor="text1"/>
          <w:lang w:val="en-US"/>
        </w:rPr>
        <w:t>Anderson 2008; Daoust and Dassonneville 2018) or vote functions (</w:t>
      </w:r>
      <w:r w:rsidR="00A46215" w:rsidRPr="00D55DA8">
        <w:rPr>
          <w:color w:val="000000" w:themeColor="text1"/>
          <w:lang w:val="en-US"/>
        </w:rPr>
        <w:t xml:space="preserve">e.g., </w:t>
      </w:r>
      <w:r w:rsidRPr="00D55DA8">
        <w:rPr>
          <w:color w:val="000000" w:themeColor="text1"/>
          <w:lang w:val="en-US"/>
        </w:rPr>
        <w:t>Nadeau and Blais 1993; Gélineau and Bélanger 2005), have confirmed a link between economic conditions and incumbency voting</w:t>
      </w:r>
      <w:r w:rsidR="00933FAD" w:rsidRPr="00D55DA8">
        <w:rPr>
          <w:color w:val="000000" w:themeColor="text1"/>
          <w:lang w:val="en-US"/>
        </w:rPr>
        <w:t xml:space="preserve"> (but see </w:t>
      </w:r>
      <w:proofErr w:type="spellStart"/>
      <w:r w:rsidR="00933FAD" w:rsidRPr="00D55DA8">
        <w:rPr>
          <w:color w:val="000000" w:themeColor="text1"/>
          <w:lang w:val="en-US"/>
        </w:rPr>
        <w:t>Guérin</w:t>
      </w:r>
      <w:proofErr w:type="spellEnd"/>
      <w:r w:rsidR="00933FAD" w:rsidRPr="00D55DA8">
        <w:rPr>
          <w:color w:val="000000" w:themeColor="text1"/>
          <w:lang w:val="en-US"/>
        </w:rPr>
        <w:t xml:space="preserve"> and Nadeau 1998)</w:t>
      </w:r>
      <w:r w:rsidRPr="00D55DA8">
        <w:rPr>
          <w:color w:val="000000" w:themeColor="text1"/>
          <w:lang w:val="en-US"/>
        </w:rPr>
        <w:t xml:space="preserve">. Aggregate-level popularity function work has </w:t>
      </w:r>
      <w:r w:rsidRPr="00D55DA8">
        <w:rPr>
          <w:color w:val="000000" w:themeColor="text1"/>
          <w:lang w:val="en-US"/>
        </w:rPr>
        <w:lastRenderedPageBreak/>
        <w:t xml:space="preserve">been numerous too and has uncovered a relationship between </w:t>
      </w:r>
      <w:r w:rsidR="007351AF" w:rsidRPr="00D55DA8">
        <w:rPr>
          <w:color w:val="000000" w:themeColor="text1"/>
          <w:lang w:val="en-US"/>
        </w:rPr>
        <w:t>vote intentions</w:t>
      </w:r>
      <w:r w:rsidRPr="00D55DA8">
        <w:rPr>
          <w:color w:val="000000" w:themeColor="text1"/>
          <w:lang w:val="en-US"/>
        </w:rPr>
        <w:t xml:space="preserve"> and a host of macroeconomic factors (Monroe and Erickson 1986; Johnston 1999; Pickup 2004). </w:t>
      </w:r>
    </w:p>
    <w:p w14:paraId="22FC9E99" w14:textId="2196B68A" w:rsidR="002A3C00" w:rsidRPr="00D55DA8" w:rsidRDefault="003417AD" w:rsidP="00E21C2A">
      <w:pPr>
        <w:spacing w:line="480" w:lineRule="auto"/>
        <w:ind w:firstLine="708"/>
        <w:jc w:val="both"/>
        <w:rPr>
          <w:color w:val="000000" w:themeColor="text1"/>
          <w:lang w:val="en-US"/>
        </w:rPr>
      </w:pPr>
      <w:r w:rsidRPr="00D55DA8">
        <w:rPr>
          <w:color w:val="000000" w:themeColor="text1"/>
          <w:lang w:val="en-US"/>
        </w:rPr>
        <w:t xml:space="preserve">In contrast to the economy, fiscal policy factors have been largely ignored in previous Canadian studies of government popularity. Tellier’s (2006) provincial-level vote intention work has looked at income tax and budgetary balance, finding that only the latter had a statistically significant effect. At the federal level, the available evidence is even more scant. In a footnote, Johnston (1999: 505) reports inconclusive results associated with budget balance, while </w:t>
      </w:r>
      <w:proofErr w:type="spellStart"/>
      <w:r w:rsidRPr="00D55DA8">
        <w:rPr>
          <w:color w:val="000000" w:themeColor="text1"/>
          <w:lang w:val="en-US"/>
        </w:rPr>
        <w:t>Happy’s</w:t>
      </w:r>
      <w:proofErr w:type="spellEnd"/>
      <w:r w:rsidRPr="00D55DA8">
        <w:rPr>
          <w:color w:val="000000" w:themeColor="text1"/>
          <w:lang w:val="en-US"/>
        </w:rPr>
        <w:t xml:space="preserve"> (1992) vote function model reveals a negative impact of income taxation on aggregate-level incumbency voting from 1953 to 1988. In contrast, s</w:t>
      </w:r>
      <w:r w:rsidR="00180A43" w:rsidRPr="00D55DA8">
        <w:rPr>
          <w:color w:val="000000" w:themeColor="text1"/>
          <w:lang w:val="en-US"/>
        </w:rPr>
        <w:t xml:space="preserve">everal international studies </w:t>
      </w:r>
      <w:r w:rsidR="00AF3FDB" w:rsidRPr="00D55DA8">
        <w:rPr>
          <w:color w:val="000000" w:themeColor="text1"/>
          <w:lang w:val="en-US"/>
        </w:rPr>
        <w:t xml:space="preserve">have </w:t>
      </w:r>
      <w:r w:rsidR="00180A43" w:rsidRPr="00D55DA8">
        <w:rPr>
          <w:color w:val="000000" w:themeColor="text1"/>
          <w:lang w:val="en-US"/>
        </w:rPr>
        <w:t xml:space="preserve">included fiscal policies, such as taxation, </w:t>
      </w:r>
      <w:proofErr w:type="gramStart"/>
      <w:r w:rsidR="00180A43" w:rsidRPr="00D55DA8">
        <w:rPr>
          <w:color w:val="000000" w:themeColor="text1"/>
          <w:lang w:val="en-US"/>
        </w:rPr>
        <w:t>transfers</w:t>
      </w:r>
      <w:proofErr w:type="gramEnd"/>
      <w:r w:rsidR="00180A43" w:rsidRPr="00D55DA8">
        <w:rPr>
          <w:color w:val="000000" w:themeColor="text1"/>
          <w:lang w:val="en-US"/>
        </w:rPr>
        <w:t xml:space="preserve"> and budget deficits in their popularity functions (</w:t>
      </w:r>
      <w:proofErr w:type="spellStart"/>
      <w:r w:rsidR="00180A43" w:rsidRPr="00D55DA8">
        <w:rPr>
          <w:color w:val="000000" w:themeColor="text1"/>
          <w:lang w:val="en-US"/>
        </w:rPr>
        <w:t>Geys</w:t>
      </w:r>
      <w:proofErr w:type="spellEnd"/>
      <w:r w:rsidR="00180A43" w:rsidRPr="00D55DA8">
        <w:rPr>
          <w:color w:val="000000" w:themeColor="text1"/>
          <w:lang w:val="en-US"/>
        </w:rPr>
        <w:t xml:space="preserve"> and </w:t>
      </w:r>
      <w:proofErr w:type="spellStart"/>
      <w:r w:rsidR="00180A43" w:rsidRPr="00D55DA8">
        <w:rPr>
          <w:color w:val="000000" w:themeColor="text1"/>
          <w:lang w:val="en-US"/>
        </w:rPr>
        <w:t>Vermeir</w:t>
      </w:r>
      <w:proofErr w:type="spellEnd"/>
      <w:r w:rsidR="00180A43" w:rsidRPr="00D55DA8">
        <w:rPr>
          <w:color w:val="000000" w:themeColor="text1"/>
          <w:lang w:val="en-US"/>
        </w:rPr>
        <w:t xml:space="preserve"> 2008; </w:t>
      </w:r>
      <w:proofErr w:type="spellStart"/>
      <w:r w:rsidR="000D1717" w:rsidRPr="00D55DA8">
        <w:rPr>
          <w:color w:val="000000" w:themeColor="text1"/>
          <w:lang w:val="en-US"/>
        </w:rPr>
        <w:t>Bojar</w:t>
      </w:r>
      <w:proofErr w:type="spellEnd"/>
      <w:r w:rsidR="000D1717" w:rsidRPr="00D55DA8">
        <w:rPr>
          <w:color w:val="000000" w:themeColor="text1"/>
          <w:lang w:val="en-US"/>
        </w:rPr>
        <w:t xml:space="preserve"> et al. 2021; </w:t>
      </w:r>
      <w:r w:rsidR="00180A43" w:rsidRPr="00D55DA8">
        <w:rPr>
          <w:color w:val="000000" w:themeColor="text1"/>
          <w:lang w:val="en-US"/>
        </w:rPr>
        <w:t xml:space="preserve">Jacques and </w:t>
      </w:r>
      <w:proofErr w:type="spellStart"/>
      <w:r w:rsidR="00180A43" w:rsidRPr="00D55DA8">
        <w:rPr>
          <w:color w:val="000000" w:themeColor="text1"/>
          <w:lang w:val="en-US"/>
        </w:rPr>
        <w:t>Haffert</w:t>
      </w:r>
      <w:proofErr w:type="spellEnd"/>
      <w:r w:rsidR="00180A43" w:rsidRPr="00D55DA8">
        <w:rPr>
          <w:color w:val="000000" w:themeColor="text1"/>
          <w:lang w:val="en-US"/>
        </w:rPr>
        <w:t xml:space="preserve"> 2021). </w:t>
      </w:r>
      <w:r w:rsidR="00E94BAE" w:rsidRPr="00D55DA8">
        <w:rPr>
          <w:color w:val="000000" w:themeColor="text1"/>
          <w:lang w:val="en-US"/>
        </w:rPr>
        <w:t>M</w:t>
      </w:r>
      <w:r w:rsidRPr="00D55DA8">
        <w:rPr>
          <w:color w:val="000000" w:themeColor="text1"/>
          <w:lang w:val="en-US"/>
        </w:rPr>
        <w:t xml:space="preserve">uch remains to be investigated when it comes to the impact of fiscal policy on federal </w:t>
      </w:r>
      <w:r w:rsidR="006260CE" w:rsidRPr="00D55DA8">
        <w:rPr>
          <w:color w:val="000000" w:themeColor="text1"/>
          <w:lang w:val="en-US"/>
        </w:rPr>
        <w:t xml:space="preserve">executive </w:t>
      </w:r>
      <w:r w:rsidRPr="00D55DA8">
        <w:rPr>
          <w:color w:val="000000" w:themeColor="text1"/>
          <w:lang w:val="en-US"/>
        </w:rPr>
        <w:t>approval in Canada.</w:t>
      </w:r>
    </w:p>
    <w:p w14:paraId="771D0BCB" w14:textId="2DCB85A0" w:rsidR="00DF2C78" w:rsidRPr="00D55DA8" w:rsidRDefault="00AD6993" w:rsidP="00E21C2A">
      <w:pPr>
        <w:autoSpaceDE w:val="0"/>
        <w:autoSpaceDN w:val="0"/>
        <w:adjustRightInd w:val="0"/>
        <w:spacing w:line="480" w:lineRule="auto"/>
        <w:ind w:firstLine="708"/>
        <w:jc w:val="both"/>
        <w:rPr>
          <w:color w:val="000000"/>
          <w:lang w:val="en-US"/>
        </w:rPr>
      </w:pPr>
      <w:r w:rsidRPr="00D55DA8">
        <w:rPr>
          <w:color w:val="000000" w:themeColor="text1"/>
          <w:lang w:val="en-US"/>
        </w:rPr>
        <w:t xml:space="preserve">In this </w:t>
      </w:r>
      <w:r w:rsidR="00821ECF" w:rsidRPr="00D55DA8">
        <w:rPr>
          <w:color w:val="000000" w:themeColor="text1"/>
          <w:lang w:val="en-US"/>
        </w:rPr>
        <w:t>research note</w:t>
      </w:r>
      <w:r w:rsidRPr="00D55DA8">
        <w:rPr>
          <w:color w:val="000000" w:themeColor="text1"/>
          <w:lang w:val="en-US"/>
        </w:rPr>
        <w:t xml:space="preserve">, we study how </w:t>
      </w:r>
      <w:r w:rsidR="003417AD" w:rsidRPr="00D55DA8">
        <w:rPr>
          <w:color w:val="000000" w:themeColor="text1"/>
          <w:lang w:val="en-US"/>
        </w:rPr>
        <w:t xml:space="preserve">fiscal policy regimes may influence </w:t>
      </w:r>
      <w:r w:rsidRPr="00D55DA8">
        <w:rPr>
          <w:color w:val="000000" w:themeColor="text1"/>
          <w:lang w:val="en-US"/>
        </w:rPr>
        <w:t>how the public reacts to budget deficits</w:t>
      </w:r>
      <w:r w:rsidR="000E57B8" w:rsidRPr="00D55DA8">
        <w:rPr>
          <w:color w:val="000000"/>
          <w:lang w:val="en-US"/>
        </w:rPr>
        <w:t>. There were two different fiscal policy regimes during the period we study in Canada (</w:t>
      </w:r>
      <w:proofErr w:type="spellStart"/>
      <w:r w:rsidR="000E57B8" w:rsidRPr="00D55DA8">
        <w:rPr>
          <w:color w:val="000000"/>
          <w:lang w:val="en-US"/>
        </w:rPr>
        <w:t>Haffert</w:t>
      </w:r>
      <w:proofErr w:type="spellEnd"/>
      <w:r w:rsidR="000E57B8" w:rsidRPr="00D55DA8">
        <w:rPr>
          <w:color w:val="000000"/>
          <w:lang w:val="en-US"/>
        </w:rPr>
        <w:t xml:space="preserve"> 2019). </w:t>
      </w:r>
      <w:r w:rsidR="001C3C98" w:rsidRPr="00D55DA8">
        <w:rPr>
          <w:color w:val="000000"/>
          <w:lang w:val="en-US"/>
        </w:rPr>
        <w:t xml:space="preserve">The first is a deficit regime, lasting from the 1970s to the early 1990s. During these </w:t>
      </w:r>
      <w:r w:rsidR="00DF2C78" w:rsidRPr="00D55DA8">
        <w:rPr>
          <w:color w:val="000000"/>
          <w:lang w:val="en-US"/>
        </w:rPr>
        <w:t>decades</w:t>
      </w:r>
      <w:r w:rsidR="001C3C98" w:rsidRPr="00D55DA8">
        <w:rPr>
          <w:color w:val="000000"/>
          <w:lang w:val="en-US"/>
        </w:rPr>
        <w:t xml:space="preserve">, the government </w:t>
      </w:r>
      <w:r w:rsidR="00D5072C" w:rsidRPr="00D55DA8">
        <w:rPr>
          <w:color w:val="000000" w:themeColor="text1"/>
          <w:lang w:val="en-US"/>
        </w:rPr>
        <w:t xml:space="preserve">sustained budget deficits every quarter </w:t>
      </w:r>
      <w:r w:rsidR="00CD5B3F" w:rsidRPr="00D55DA8">
        <w:rPr>
          <w:color w:val="000000"/>
          <w:lang w:val="en-US"/>
        </w:rPr>
        <w:t>and</w:t>
      </w:r>
      <w:r w:rsidR="003417AD" w:rsidRPr="00D55DA8">
        <w:rPr>
          <w:color w:val="000000"/>
          <w:lang w:val="en-US"/>
        </w:rPr>
        <w:t xml:space="preserve"> </w:t>
      </w:r>
      <w:r w:rsidR="00D5072C" w:rsidRPr="00D55DA8">
        <w:rPr>
          <w:color w:val="000000"/>
          <w:lang w:val="en-US"/>
        </w:rPr>
        <w:t xml:space="preserve">public </w:t>
      </w:r>
      <w:r w:rsidR="00DF2C78" w:rsidRPr="00D55DA8">
        <w:rPr>
          <w:color w:val="000000"/>
          <w:lang w:val="en-US"/>
        </w:rPr>
        <w:t xml:space="preserve">debt </w:t>
      </w:r>
      <w:r w:rsidR="007351AF" w:rsidRPr="00D55DA8">
        <w:rPr>
          <w:color w:val="000000"/>
          <w:lang w:val="en-US"/>
        </w:rPr>
        <w:t>was</w:t>
      </w:r>
      <w:r w:rsidR="00DF2C78" w:rsidRPr="00D55DA8">
        <w:rPr>
          <w:color w:val="000000"/>
          <w:lang w:val="en-US"/>
        </w:rPr>
        <w:t xml:space="preserve"> constantly </w:t>
      </w:r>
      <w:r w:rsidR="00D5072C" w:rsidRPr="00D55DA8">
        <w:rPr>
          <w:color w:val="000000"/>
          <w:lang w:val="en-US"/>
        </w:rPr>
        <w:t>rising</w:t>
      </w:r>
      <w:r w:rsidR="005C1B99" w:rsidRPr="00D55DA8">
        <w:rPr>
          <w:color w:val="000000"/>
          <w:lang w:val="en-US"/>
        </w:rPr>
        <w:t>.</w:t>
      </w:r>
      <w:r w:rsidR="00D5072C" w:rsidRPr="00D55DA8">
        <w:rPr>
          <w:color w:val="000000"/>
          <w:lang w:val="en-US"/>
        </w:rPr>
        <w:t xml:space="preserve"> The government </w:t>
      </w:r>
      <w:r w:rsidR="00AF3FDB" w:rsidRPr="00D55DA8">
        <w:rPr>
          <w:color w:val="000000"/>
          <w:lang w:val="en-US"/>
        </w:rPr>
        <w:t>was not</w:t>
      </w:r>
      <w:r w:rsidR="00D5072C" w:rsidRPr="00D55DA8">
        <w:rPr>
          <w:color w:val="000000"/>
          <w:lang w:val="en-US"/>
        </w:rPr>
        <w:t xml:space="preserve"> willing </w:t>
      </w:r>
      <w:r w:rsidR="00D5072C" w:rsidRPr="00D55DA8">
        <w:rPr>
          <w:color w:val="000000" w:themeColor="text1"/>
          <w:lang w:val="en-US"/>
        </w:rPr>
        <w:t>to pay the political price of an elimination of budget deficit</w:t>
      </w:r>
      <w:r w:rsidR="00CD5B3F" w:rsidRPr="00D55DA8">
        <w:rPr>
          <w:color w:val="000000" w:themeColor="text1"/>
          <w:lang w:val="en-US"/>
        </w:rPr>
        <w:t>s</w:t>
      </w:r>
      <w:r w:rsidR="00D5072C" w:rsidRPr="00D55DA8">
        <w:rPr>
          <w:color w:val="000000"/>
          <w:lang w:val="en-US"/>
        </w:rPr>
        <w:t xml:space="preserve"> since c</w:t>
      </w:r>
      <w:r w:rsidR="005C1B99" w:rsidRPr="00D55DA8">
        <w:rPr>
          <w:color w:val="000000"/>
          <w:lang w:val="en-US"/>
        </w:rPr>
        <w:t>utbacks would have affected poorer regions</w:t>
      </w:r>
      <w:r w:rsidR="00AF3FDB" w:rsidRPr="00D55DA8">
        <w:rPr>
          <w:color w:val="000000"/>
          <w:lang w:val="en-US"/>
        </w:rPr>
        <w:t xml:space="preserve"> disproportional</w:t>
      </w:r>
      <w:r w:rsidR="00821ECF" w:rsidRPr="00D55DA8">
        <w:rPr>
          <w:color w:val="000000"/>
          <w:lang w:val="en-US"/>
        </w:rPr>
        <w:t>l</w:t>
      </w:r>
      <w:r w:rsidR="00AF3FDB" w:rsidRPr="00D55DA8">
        <w:rPr>
          <w:color w:val="000000"/>
          <w:lang w:val="en-US"/>
        </w:rPr>
        <w:t>y</w:t>
      </w:r>
      <w:r w:rsidR="005C1B99" w:rsidRPr="00D55DA8">
        <w:rPr>
          <w:color w:val="000000"/>
          <w:lang w:val="en-US"/>
        </w:rPr>
        <w:t>, while tax increases would have accentuated redistributive conflict</w:t>
      </w:r>
      <w:r w:rsidR="00D5072C" w:rsidRPr="00D55DA8">
        <w:rPr>
          <w:color w:val="000000"/>
          <w:lang w:val="en-US"/>
        </w:rPr>
        <w:t>s</w:t>
      </w:r>
      <w:r w:rsidR="005C1B99" w:rsidRPr="00D55DA8">
        <w:rPr>
          <w:color w:val="000000"/>
          <w:lang w:val="en-US"/>
        </w:rPr>
        <w:t xml:space="preserve"> along regional lines</w:t>
      </w:r>
      <w:r w:rsidR="00CD5B3F" w:rsidRPr="00D55DA8">
        <w:rPr>
          <w:color w:val="000000"/>
          <w:lang w:val="en-US"/>
        </w:rPr>
        <w:t xml:space="preserve"> (</w:t>
      </w:r>
      <w:proofErr w:type="spellStart"/>
      <w:r w:rsidR="00CD5B3F" w:rsidRPr="00D55DA8">
        <w:rPr>
          <w:color w:val="000000"/>
          <w:lang w:val="en-US"/>
        </w:rPr>
        <w:t>Barta</w:t>
      </w:r>
      <w:proofErr w:type="spellEnd"/>
      <w:r w:rsidR="00CD5B3F" w:rsidRPr="00D55DA8">
        <w:rPr>
          <w:color w:val="000000"/>
          <w:lang w:val="en-US"/>
        </w:rPr>
        <w:t xml:space="preserve"> 2018)</w:t>
      </w:r>
      <w:r w:rsidR="005C1B99" w:rsidRPr="00D55DA8">
        <w:rPr>
          <w:color w:val="000000"/>
          <w:lang w:val="en-US"/>
        </w:rPr>
        <w:t xml:space="preserve">. </w:t>
      </w:r>
      <w:r w:rsidR="001C3C98" w:rsidRPr="00D55DA8">
        <w:rPr>
          <w:color w:val="000000" w:themeColor="text1"/>
          <w:lang w:val="en-US"/>
        </w:rPr>
        <w:t xml:space="preserve">Brian Mulroney’s Progressive Conservative government </w:t>
      </w:r>
      <w:proofErr w:type="gramStart"/>
      <w:r w:rsidR="0062762E" w:rsidRPr="00D55DA8">
        <w:rPr>
          <w:color w:val="000000" w:themeColor="text1"/>
          <w:lang w:val="en-US"/>
        </w:rPr>
        <w:t>did not succeed</w:t>
      </w:r>
      <w:proofErr w:type="gramEnd"/>
      <w:r w:rsidR="0062762E" w:rsidRPr="00D55DA8">
        <w:rPr>
          <w:color w:val="000000" w:themeColor="text1"/>
          <w:lang w:val="en-US"/>
        </w:rPr>
        <w:t xml:space="preserve"> in balancing the budget</w:t>
      </w:r>
      <w:r w:rsidR="00D5072C" w:rsidRPr="00D55DA8">
        <w:rPr>
          <w:color w:val="000000" w:themeColor="text1"/>
          <w:lang w:val="en-US"/>
        </w:rPr>
        <w:t>.</w:t>
      </w:r>
    </w:p>
    <w:p w14:paraId="176D7300" w14:textId="4887223E" w:rsidR="00E21C2A" w:rsidRPr="00D55DA8" w:rsidRDefault="002A3C00" w:rsidP="000369CF">
      <w:pPr>
        <w:spacing w:line="480" w:lineRule="auto"/>
        <w:ind w:firstLine="708"/>
        <w:jc w:val="both"/>
        <w:rPr>
          <w:color w:val="000000" w:themeColor="text1"/>
          <w:lang w:val="en-US"/>
        </w:rPr>
      </w:pPr>
      <w:r w:rsidRPr="00D55DA8">
        <w:rPr>
          <w:color w:val="000000" w:themeColor="text1"/>
          <w:lang w:val="en-US"/>
        </w:rPr>
        <w:t>The early 1990s recession hit the Canadian economy particularly hard, contributing to even larger budget deficits and to unsustainable interest rates payments of the public debt. By the early 1990s, interest payments on the federal government’s public debt reached 6</w:t>
      </w:r>
      <w:r w:rsidR="001F7F25" w:rsidRPr="00D55DA8">
        <w:rPr>
          <w:color w:val="000000" w:themeColor="text1"/>
          <w:lang w:val="en-US"/>
        </w:rPr>
        <w:t xml:space="preserve"> per cent</w:t>
      </w:r>
      <w:r w:rsidRPr="00D55DA8">
        <w:rPr>
          <w:color w:val="000000" w:themeColor="text1"/>
          <w:lang w:val="en-US"/>
        </w:rPr>
        <w:t xml:space="preserve"> of the GDP, which represented almost 30</w:t>
      </w:r>
      <w:r w:rsidR="001F7F25" w:rsidRPr="00D55DA8">
        <w:rPr>
          <w:color w:val="000000" w:themeColor="text1"/>
          <w:lang w:val="en-US"/>
        </w:rPr>
        <w:t xml:space="preserve"> per cent</w:t>
      </w:r>
      <w:r w:rsidRPr="00D55DA8">
        <w:rPr>
          <w:color w:val="000000" w:themeColor="text1"/>
          <w:lang w:val="en-US"/>
        </w:rPr>
        <w:t xml:space="preserve"> of its expenditures. The 1994 Mexican peso crisis was the straw that broke the camel’s back, as it prompted fears of a devaluation of the Canadian dollar and of an ensuing sovereign debt crisis. </w:t>
      </w:r>
      <w:r w:rsidRPr="00D55DA8">
        <w:rPr>
          <w:color w:val="000000" w:themeColor="text1"/>
          <w:lang w:val="en-US"/>
        </w:rPr>
        <w:lastRenderedPageBreak/>
        <w:t>The International Monetary Fund was knocking at the door with a painful structural adjustment plan</w:t>
      </w:r>
      <w:r w:rsidR="00DF2C78" w:rsidRPr="00D55DA8">
        <w:rPr>
          <w:color w:val="000000" w:themeColor="text1"/>
          <w:lang w:val="en-US"/>
        </w:rPr>
        <w:t xml:space="preserve"> (Savoie 1999)</w:t>
      </w:r>
      <w:r w:rsidRPr="00D55DA8">
        <w:rPr>
          <w:color w:val="000000" w:themeColor="text1"/>
          <w:lang w:val="en-US"/>
        </w:rPr>
        <w:t>. Around that time, the government deficit became</w:t>
      </w:r>
      <w:r w:rsidR="00461813" w:rsidRPr="00D55DA8">
        <w:rPr>
          <w:color w:val="000000" w:themeColor="text1"/>
          <w:lang w:val="en-US"/>
        </w:rPr>
        <w:t xml:space="preserve"> one of</w:t>
      </w:r>
      <w:r w:rsidRPr="00D55DA8">
        <w:rPr>
          <w:color w:val="000000" w:themeColor="text1"/>
          <w:lang w:val="en-US"/>
        </w:rPr>
        <w:t xml:space="preserve"> the most important issue for Canadian citizens, as shown in figure 1</w:t>
      </w:r>
      <w:r w:rsidR="00E21C2A" w:rsidRPr="00D55DA8">
        <w:rPr>
          <w:rStyle w:val="Appeldenotedefin"/>
          <w:color w:val="000000" w:themeColor="text1"/>
          <w:lang w:val="en-US"/>
        </w:rPr>
        <w:endnoteReference w:id="1"/>
      </w:r>
      <w:r w:rsidR="00E21C2A" w:rsidRPr="00D55DA8">
        <w:rPr>
          <w:color w:val="000000" w:themeColor="text1"/>
          <w:lang w:val="en-US"/>
        </w:rPr>
        <w:t xml:space="preserve">. </w:t>
      </w:r>
    </w:p>
    <w:p w14:paraId="62B0FF79" w14:textId="77777777" w:rsidR="000369CF" w:rsidRPr="00D55DA8" w:rsidRDefault="000369CF" w:rsidP="000369CF">
      <w:pPr>
        <w:spacing w:line="480" w:lineRule="auto"/>
        <w:ind w:firstLine="708"/>
        <w:jc w:val="both"/>
        <w:rPr>
          <w:color w:val="000000" w:themeColor="text1"/>
          <w:lang w:val="en-US"/>
        </w:rPr>
      </w:pPr>
    </w:p>
    <w:p w14:paraId="50CAC6AB" w14:textId="31D279D0" w:rsidR="00E21C2A" w:rsidRPr="00D55DA8" w:rsidRDefault="00E21C2A">
      <w:pPr>
        <w:spacing w:line="360" w:lineRule="auto"/>
        <w:jc w:val="both"/>
        <w:rPr>
          <w:b/>
          <w:bCs/>
          <w:color w:val="000000" w:themeColor="text1"/>
          <w:lang w:val="en-US"/>
        </w:rPr>
      </w:pPr>
      <w:r w:rsidRPr="00D55DA8">
        <w:rPr>
          <w:b/>
          <w:bCs/>
          <w:color w:val="000000" w:themeColor="text1"/>
          <w:lang w:val="en-US"/>
        </w:rPr>
        <w:t xml:space="preserve">Figure 1. Proportion of Canadians saying public debt or deficits are the most important issue facing the country, yearly averages.  </w:t>
      </w:r>
    </w:p>
    <w:p w14:paraId="403E6792" w14:textId="199D697B" w:rsidR="00F7565B" w:rsidRPr="00D55DA8" w:rsidRDefault="006C433F" w:rsidP="006C433F">
      <w:pPr>
        <w:spacing w:line="360" w:lineRule="auto"/>
        <w:jc w:val="both"/>
        <w:rPr>
          <w:b/>
          <w:bCs/>
          <w:color w:val="000000" w:themeColor="text1"/>
          <w:lang w:val="en-US"/>
        </w:rPr>
      </w:pPr>
      <w:r w:rsidRPr="00D55DA8">
        <w:rPr>
          <w:noProof/>
        </w:rPr>
        <w:drawing>
          <wp:inline distT="0" distB="0" distL="0" distR="0" wp14:anchorId="01F48962" wp14:editId="1D472B87">
            <wp:extent cx="5873750" cy="3581400"/>
            <wp:effectExtent l="0" t="0" r="6350" b="12700"/>
            <wp:docPr id="6" name="Graphique 6">
              <a:extLst xmlns:a="http://schemas.openxmlformats.org/drawingml/2006/main">
                <a:ext uri="{FF2B5EF4-FFF2-40B4-BE49-F238E27FC236}">
                  <a16:creationId xmlns:a16="http://schemas.microsoft.com/office/drawing/2014/main" id="{651FED2A-A05E-F940-8C64-820727DD4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1A10CA" w14:textId="77777777" w:rsidR="00E21C2A" w:rsidRPr="00D55DA8" w:rsidRDefault="00E21C2A" w:rsidP="00E21C2A">
      <w:pPr>
        <w:spacing w:line="480" w:lineRule="auto"/>
        <w:jc w:val="both"/>
        <w:rPr>
          <w:color w:val="000000" w:themeColor="text1"/>
        </w:rPr>
      </w:pPr>
    </w:p>
    <w:p w14:paraId="7602BE24" w14:textId="5EA6EA82" w:rsidR="00E21C2A" w:rsidRPr="00D55DA8" w:rsidRDefault="00E21C2A" w:rsidP="00E21C2A">
      <w:pPr>
        <w:autoSpaceDE w:val="0"/>
        <w:autoSpaceDN w:val="0"/>
        <w:adjustRightInd w:val="0"/>
        <w:spacing w:line="480" w:lineRule="auto"/>
        <w:ind w:firstLine="708"/>
        <w:jc w:val="both"/>
        <w:rPr>
          <w:lang w:val="en-US"/>
        </w:rPr>
      </w:pPr>
      <w:r w:rsidRPr="00D55DA8">
        <w:rPr>
          <w:color w:val="000000" w:themeColor="text1"/>
          <w:lang w:val="en-US"/>
        </w:rPr>
        <w:t xml:space="preserve">Such a crisis represented a critical juncture leading to a paradigm shift, as policy priorities and the main tools to achieve them changed (Hall 1993). Large public support in </w:t>
      </w:r>
      <w:proofErr w:type="spellStart"/>
      <w:r w:rsidRPr="00D55DA8">
        <w:rPr>
          <w:color w:val="000000" w:themeColor="text1"/>
          <w:lang w:val="en-US"/>
        </w:rPr>
        <w:t>favour</w:t>
      </w:r>
      <w:proofErr w:type="spellEnd"/>
      <w:r w:rsidRPr="00D55DA8">
        <w:rPr>
          <w:color w:val="000000" w:themeColor="text1"/>
          <w:lang w:val="en-US"/>
        </w:rPr>
        <w:t xml:space="preserve"> of deficit elimination provided an opportunity for the newly appointed Chrétien government of the Liberal Party of Canada to implement significant reforms that would change fiscal policy making in Canada for decades (</w:t>
      </w:r>
      <w:proofErr w:type="spellStart"/>
      <w:r w:rsidRPr="00D55DA8">
        <w:rPr>
          <w:color w:val="000000" w:themeColor="text1"/>
          <w:lang w:val="en-US"/>
        </w:rPr>
        <w:t>Haffert</w:t>
      </w:r>
      <w:proofErr w:type="spellEnd"/>
      <w:r w:rsidRPr="00D55DA8">
        <w:rPr>
          <w:color w:val="000000" w:themeColor="text1"/>
          <w:lang w:val="en-US"/>
        </w:rPr>
        <w:t xml:space="preserve"> 2019). Indeed, very large spending cuts (or tax increases) can only gather the necessary social and political support, “if </w:t>
      </w:r>
      <w:r w:rsidRPr="00D55DA8">
        <w:rPr>
          <w:lang w:val="en-US"/>
        </w:rPr>
        <w:t>sufficiently large sections of society have an immediate stake in fiscal adjustment and cannot reasonably hope for less onerous fiscal sacrifices” (</w:t>
      </w:r>
      <w:proofErr w:type="spellStart"/>
      <w:r w:rsidRPr="00D55DA8">
        <w:rPr>
          <w:lang w:val="en-US"/>
        </w:rPr>
        <w:t>Barta</w:t>
      </w:r>
      <w:proofErr w:type="spellEnd"/>
      <w:r w:rsidRPr="00D55DA8">
        <w:rPr>
          <w:lang w:val="en-US"/>
        </w:rPr>
        <w:t xml:space="preserve"> 2018: 17). </w:t>
      </w:r>
      <w:r w:rsidRPr="00D55DA8">
        <w:rPr>
          <w:color w:val="000000" w:themeColor="text1"/>
          <w:lang w:val="en-US"/>
        </w:rPr>
        <w:t>The government reformed the budget process by instituting a permanent program review and by concentrating policy-</w:t>
      </w:r>
      <w:r w:rsidRPr="00D55DA8">
        <w:rPr>
          <w:color w:val="000000" w:themeColor="text1"/>
          <w:lang w:val="en-US"/>
        </w:rPr>
        <w:lastRenderedPageBreak/>
        <w:t>making power towards the minister of Finance, inducing fiscal discipline by reinforcing the power of central agencies, the guardians of the public purse, over line departments (</w:t>
      </w:r>
      <w:r w:rsidR="00E94BAE" w:rsidRPr="00D55DA8">
        <w:rPr>
          <w:color w:val="000000" w:themeColor="text1"/>
          <w:lang w:val="en-US"/>
        </w:rPr>
        <w:t>Savoie 1999</w:t>
      </w:r>
      <w:r w:rsidRPr="00D55DA8">
        <w:rPr>
          <w:color w:val="000000" w:themeColor="text1"/>
          <w:lang w:val="en-US"/>
        </w:rPr>
        <w:t xml:space="preserve">). </w:t>
      </w:r>
    </w:p>
    <w:p w14:paraId="52C8A3B1" w14:textId="4AF23A94" w:rsidR="00E21C2A" w:rsidRPr="00D55DA8" w:rsidRDefault="00E21C2A" w:rsidP="00E21C2A">
      <w:pPr>
        <w:spacing w:line="480" w:lineRule="auto"/>
        <w:ind w:firstLine="708"/>
        <w:jc w:val="both"/>
        <w:rPr>
          <w:color w:val="000000" w:themeColor="text1"/>
          <w:lang w:val="en-US"/>
        </w:rPr>
      </w:pPr>
      <w:r w:rsidRPr="00D55DA8">
        <w:rPr>
          <w:color w:val="000000" w:themeColor="text1"/>
          <w:lang w:val="en-US"/>
        </w:rPr>
        <w:t>To achieve surpluses, the government had to permanently</w:t>
      </w:r>
      <w:r w:rsidRPr="00D55DA8" w:rsidDel="00364663">
        <w:rPr>
          <w:color w:val="000000" w:themeColor="text1"/>
          <w:lang w:val="en-US"/>
        </w:rPr>
        <w:t xml:space="preserve"> </w:t>
      </w:r>
      <w:r w:rsidRPr="00D55DA8">
        <w:rPr>
          <w:color w:val="000000" w:themeColor="text1"/>
          <w:lang w:val="en-US"/>
        </w:rPr>
        <w:t xml:space="preserve">transform the ideas, </w:t>
      </w:r>
      <w:proofErr w:type="gramStart"/>
      <w:r w:rsidRPr="00D55DA8">
        <w:rPr>
          <w:color w:val="000000" w:themeColor="text1"/>
          <w:lang w:val="en-US"/>
        </w:rPr>
        <w:t>institutions</w:t>
      </w:r>
      <w:proofErr w:type="gramEnd"/>
      <w:r w:rsidRPr="00D55DA8">
        <w:rPr>
          <w:color w:val="000000" w:themeColor="text1"/>
          <w:lang w:val="en-US"/>
        </w:rPr>
        <w:t xml:space="preserve"> and the balance of power around fiscal policy. As discussed by </w:t>
      </w:r>
      <w:proofErr w:type="spellStart"/>
      <w:r w:rsidRPr="00D55DA8">
        <w:rPr>
          <w:color w:val="000000" w:themeColor="text1"/>
          <w:lang w:val="en-US"/>
        </w:rPr>
        <w:t>Haffert</w:t>
      </w:r>
      <w:proofErr w:type="spellEnd"/>
      <w:r w:rsidRPr="00D55DA8">
        <w:rPr>
          <w:color w:val="000000" w:themeColor="text1"/>
          <w:lang w:val="en-US"/>
        </w:rPr>
        <w:t xml:space="preserve"> (2019), there was a profound transformation of Canada’s fiscal regime from a “deficit regime”, unable to balance budgets, to a “surplus regime” in which balancing budgets and even maintaining surpluses became the primary fiscal objective of the state. The fiscal consolidation of the early 1990s was almost entirely composed of expenditure cuts rather than tax increases, which contributed to the instalment of a surplus regime. Expenditure-focused consolidations weakened political coalitions that are in </w:t>
      </w:r>
      <w:proofErr w:type="spellStart"/>
      <w:r w:rsidRPr="00D55DA8">
        <w:rPr>
          <w:color w:val="000000" w:themeColor="text1"/>
          <w:lang w:val="en-US"/>
        </w:rPr>
        <w:t>favour</w:t>
      </w:r>
      <w:proofErr w:type="spellEnd"/>
      <w:r w:rsidRPr="00D55DA8">
        <w:rPr>
          <w:color w:val="000000" w:themeColor="text1"/>
          <w:lang w:val="en-US"/>
        </w:rPr>
        <w:t xml:space="preserve"> of additional public spending, notably by reducing the number of public sector workers (by 45,000 employees). Moreover, a retrenchment of public services changes citizens’ expectations, as they expect further cuts to public services and, therefore, anticipate relying less on the state (</w:t>
      </w:r>
      <w:proofErr w:type="spellStart"/>
      <w:r w:rsidRPr="00D55DA8">
        <w:rPr>
          <w:color w:val="000000" w:themeColor="text1"/>
          <w:lang w:val="en-US"/>
        </w:rPr>
        <w:t>Haffert</w:t>
      </w:r>
      <w:proofErr w:type="spellEnd"/>
      <w:r w:rsidRPr="00D55DA8">
        <w:rPr>
          <w:color w:val="000000" w:themeColor="text1"/>
          <w:lang w:val="en-US"/>
        </w:rPr>
        <w:t xml:space="preserve"> 2019). </w:t>
      </w:r>
    </w:p>
    <w:p w14:paraId="6B5579EE" w14:textId="7637198E" w:rsidR="00E21C2A" w:rsidRPr="00D55DA8" w:rsidRDefault="00E21C2A" w:rsidP="00E21C2A">
      <w:pPr>
        <w:spacing w:line="480" w:lineRule="auto"/>
        <w:ind w:firstLine="708"/>
        <w:jc w:val="both"/>
        <w:rPr>
          <w:color w:val="000000" w:themeColor="text1"/>
          <w:lang w:val="en-US"/>
        </w:rPr>
      </w:pPr>
      <w:r w:rsidRPr="00D55DA8">
        <w:rPr>
          <w:color w:val="000000" w:themeColor="text1"/>
          <w:lang w:val="en-US"/>
        </w:rPr>
        <w:t>What is more, these consolidation measures were supported by most federal parties, with some, like the Reform Party, advocating for even harsher cutbacks. At the same time, a 30</w:t>
      </w:r>
      <w:r w:rsidR="001F7F25" w:rsidRPr="00D55DA8">
        <w:rPr>
          <w:color w:val="000000" w:themeColor="text1"/>
          <w:lang w:val="en-US"/>
        </w:rPr>
        <w:t xml:space="preserve"> per cent</w:t>
      </w:r>
      <w:r w:rsidRPr="00D55DA8">
        <w:rPr>
          <w:color w:val="000000" w:themeColor="text1"/>
          <w:lang w:val="en-US"/>
        </w:rPr>
        <w:t xml:space="preserve"> cut to federal transfers to provinces forced provincial governments of all stripes to implement consolidations. The discourse about the importance of balancing budgets and of implementing “austerity” measures became dominant in Canada and worldwide (Lewis 2003). </w:t>
      </w:r>
      <w:r w:rsidRPr="00D55DA8">
        <w:rPr>
          <w:lang w:val="en-US"/>
        </w:rPr>
        <w:t>However, consolidation measures and the entrenchment of surplus regimes were successful only in certain countries, like Canada (</w:t>
      </w:r>
      <w:proofErr w:type="spellStart"/>
      <w:r w:rsidRPr="00D55DA8">
        <w:rPr>
          <w:lang w:val="en-US"/>
        </w:rPr>
        <w:t>Haffert</w:t>
      </w:r>
      <w:proofErr w:type="spellEnd"/>
      <w:r w:rsidRPr="00D55DA8">
        <w:rPr>
          <w:lang w:val="en-US"/>
        </w:rPr>
        <w:t xml:space="preserve"> 2019), which is making the study of the Canadian case particularly pertinent. The surplus regime </w:t>
      </w:r>
      <w:r w:rsidRPr="00D55DA8">
        <w:rPr>
          <w:color w:val="000000" w:themeColor="text1"/>
          <w:lang w:val="en-US"/>
        </w:rPr>
        <w:t>lasted until the 2015 election during which the Liberal Party of Canada br</w:t>
      </w:r>
      <w:r w:rsidR="00821ECF" w:rsidRPr="00D55DA8">
        <w:rPr>
          <w:color w:val="000000" w:themeColor="text1"/>
          <w:lang w:val="en-US"/>
        </w:rPr>
        <w:t>oke</w:t>
      </w:r>
      <w:r w:rsidRPr="00D55DA8">
        <w:rPr>
          <w:color w:val="000000" w:themeColor="text1"/>
          <w:lang w:val="en-US"/>
        </w:rPr>
        <w:t xml:space="preserve"> with fiscal orthodoxy by promising to run deficits to increase public spending.</w:t>
      </w:r>
    </w:p>
    <w:p w14:paraId="68CB365A" w14:textId="55818B6D" w:rsidR="00E21C2A" w:rsidRPr="00D55DA8" w:rsidRDefault="00E21C2A" w:rsidP="00E21C2A">
      <w:pPr>
        <w:spacing w:line="480" w:lineRule="auto"/>
        <w:ind w:firstLine="708"/>
        <w:jc w:val="both"/>
        <w:rPr>
          <w:color w:val="000000" w:themeColor="text1"/>
          <w:lang w:val="en-US"/>
        </w:rPr>
      </w:pPr>
      <w:r w:rsidRPr="00D55DA8">
        <w:rPr>
          <w:color w:val="000000" w:themeColor="text1"/>
          <w:lang w:val="en-US"/>
        </w:rPr>
        <w:t xml:space="preserve">If </w:t>
      </w:r>
      <w:proofErr w:type="gramStart"/>
      <w:r w:rsidRPr="00D55DA8">
        <w:rPr>
          <w:color w:val="000000" w:themeColor="text1"/>
          <w:lang w:val="en-US"/>
        </w:rPr>
        <w:t>a self-reinforcing feedback</w:t>
      </w:r>
      <w:proofErr w:type="gramEnd"/>
      <w:r w:rsidRPr="00D55DA8">
        <w:rPr>
          <w:color w:val="000000" w:themeColor="text1"/>
          <w:lang w:val="en-US"/>
        </w:rPr>
        <w:t xml:space="preserve"> between fiscal regimes and public opinion exist</w:t>
      </w:r>
      <w:r w:rsidR="00821ECF" w:rsidRPr="00D55DA8">
        <w:rPr>
          <w:color w:val="000000" w:themeColor="text1"/>
          <w:lang w:val="en-US"/>
        </w:rPr>
        <w:t>s</w:t>
      </w:r>
      <w:r w:rsidRPr="00D55DA8">
        <w:rPr>
          <w:color w:val="000000" w:themeColor="text1"/>
          <w:lang w:val="en-US"/>
        </w:rPr>
        <w:t xml:space="preserve">, we </w:t>
      </w:r>
      <w:r w:rsidR="00821ECF" w:rsidRPr="00D55DA8">
        <w:rPr>
          <w:color w:val="000000" w:themeColor="text1"/>
          <w:lang w:val="en-US"/>
        </w:rPr>
        <w:t>should</w:t>
      </w:r>
      <w:r w:rsidRPr="00D55DA8">
        <w:rPr>
          <w:color w:val="000000" w:themeColor="text1"/>
          <w:lang w:val="en-US"/>
        </w:rPr>
        <w:t xml:space="preserve"> observe two empirical phenomena related to how citizens react to budget deficits. Before 1993, we </w:t>
      </w:r>
      <w:r w:rsidR="00821ECF" w:rsidRPr="00D55DA8">
        <w:rPr>
          <w:color w:val="000000" w:themeColor="text1"/>
          <w:lang w:val="en-US"/>
        </w:rPr>
        <w:t xml:space="preserve">would </w:t>
      </w:r>
      <w:r w:rsidRPr="00D55DA8">
        <w:rPr>
          <w:color w:val="000000" w:themeColor="text1"/>
          <w:lang w:val="en-US"/>
        </w:rPr>
        <w:t xml:space="preserve">expect citizens to follow classical models of preferences regarding fiscal policies and exhibit a deficit bias: voters reward governments for spending more and/or reducing taxes, while discounting the negative </w:t>
      </w:r>
      <w:r w:rsidRPr="00D55DA8">
        <w:rPr>
          <w:color w:val="000000" w:themeColor="text1"/>
          <w:lang w:val="en-US"/>
        </w:rPr>
        <w:lastRenderedPageBreak/>
        <w:t>consequences of additional deficits in the future (</w:t>
      </w:r>
      <w:proofErr w:type="spellStart"/>
      <w:r w:rsidRPr="00D55DA8">
        <w:rPr>
          <w:color w:val="000000" w:themeColor="text1"/>
          <w:lang w:val="en-US"/>
        </w:rPr>
        <w:t>Calmfors</w:t>
      </w:r>
      <w:proofErr w:type="spellEnd"/>
      <w:r w:rsidRPr="00D55DA8">
        <w:rPr>
          <w:color w:val="000000" w:themeColor="text1"/>
          <w:lang w:val="en-US"/>
        </w:rPr>
        <w:t xml:space="preserve"> and Wren-Lewis 2010). During these decades, </w:t>
      </w:r>
      <w:r w:rsidR="00A648E0" w:rsidRPr="00D55DA8">
        <w:rPr>
          <w:color w:val="000000" w:themeColor="text1"/>
          <w:lang w:val="en-US"/>
        </w:rPr>
        <w:t>the executive’s</w:t>
      </w:r>
      <w:r w:rsidRPr="00D55DA8">
        <w:rPr>
          <w:color w:val="000000" w:themeColor="text1"/>
          <w:lang w:val="en-US"/>
        </w:rPr>
        <w:t xml:space="preserve"> popularity should increase with higher budget deficits. The shift of the fiscal policy regime towards a surplus regime should be sustained by voters who should become more fiscally conservative over time, following elites’ and media discourses (Barnes and Hicks 2021). We </w:t>
      </w:r>
      <w:r w:rsidR="00821ECF" w:rsidRPr="00D55DA8">
        <w:rPr>
          <w:color w:val="000000" w:themeColor="text1"/>
          <w:lang w:val="en-US"/>
        </w:rPr>
        <w:t xml:space="preserve">would </w:t>
      </w:r>
      <w:r w:rsidRPr="00D55DA8">
        <w:rPr>
          <w:color w:val="000000" w:themeColor="text1"/>
          <w:lang w:val="en-US"/>
        </w:rPr>
        <w:t xml:space="preserve">thus expect that after 1993, citizens punish governments for a deterioration of the budget balance and reward them for a reduction in deficits. </w:t>
      </w:r>
    </w:p>
    <w:p w14:paraId="105DD74F" w14:textId="572AD570" w:rsidR="000369CF" w:rsidRPr="00D55DA8" w:rsidRDefault="00E21C2A" w:rsidP="00E21C2A">
      <w:pPr>
        <w:spacing w:line="480" w:lineRule="auto"/>
        <w:ind w:firstLine="708"/>
        <w:jc w:val="both"/>
        <w:rPr>
          <w:color w:val="000000" w:themeColor="text1"/>
          <w:lang w:val="en-US"/>
        </w:rPr>
      </w:pPr>
      <w:r w:rsidRPr="00D55DA8">
        <w:rPr>
          <w:color w:val="000000" w:themeColor="text1"/>
          <w:lang w:val="en-US"/>
        </w:rPr>
        <w:t>Our systematic review of available opinion polls supports these expectations: it reveals that the proportion of Canadians saying it is very important for the federal government to reduce the deficit increased from only 50</w:t>
      </w:r>
      <w:r w:rsidR="001F7F25" w:rsidRPr="00D55DA8">
        <w:rPr>
          <w:color w:val="000000" w:themeColor="text1"/>
          <w:lang w:val="en-US"/>
        </w:rPr>
        <w:t xml:space="preserve"> per cent</w:t>
      </w:r>
      <w:r w:rsidRPr="00D55DA8">
        <w:rPr>
          <w:color w:val="000000" w:themeColor="text1"/>
          <w:lang w:val="en-US"/>
        </w:rPr>
        <w:t xml:space="preserve"> in the 1980s to around 75</w:t>
      </w:r>
      <w:r w:rsidR="001F7F25" w:rsidRPr="00D55DA8">
        <w:rPr>
          <w:color w:val="000000" w:themeColor="text1"/>
          <w:lang w:val="en-US"/>
        </w:rPr>
        <w:t xml:space="preserve"> per cent</w:t>
      </w:r>
      <w:r w:rsidRPr="00D55DA8">
        <w:rPr>
          <w:color w:val="000000" w:themeColor="text1"/>
          <w:lang w:val="en-US"/>
        </w:rPr>
        <w:t xml:space="preserve"> in the early to mid 1990s, before going down afterwards</w:t>
      </w:r>
      <w:r w:rsidRPr="00D55DA8">
        <w:rPr>
          <w:rStyle w:val="Appeldenotedefin"/>
          <w:color w:val="000000" w:themeColor="text1"/>
          <w:lang w:val="en-US"/>
        </w:rPr>
        <w:endnoteReference w:id="2"/>
      </w:r>
      <w:r w:rsidRPr="00D55DA8">
        <w:rPr>
          <w:color w:val="000000" w:themeColor="text1"/>
          <w:lang w:val="en-US"/>
        </w:rPr>
        <w:t>, as shown in figure 2. At the same time, the proportion of Canadians approving the way the federal government is handling debt and deficit reduction increased significantly from the late 1980s until the 2008 financial crisis. Clearly, citizens’ views of the deficit changed after the early 1990s as they became more deficit averse.</w:t>
      </w:r>
    </w:p>
    <w:p w14:paraId="72E593AC" w14:textId="77777777" w:rsidR="00E21C2A" w:rsidRPr="00D55DA8" w:rsidRDefault="00E21C2A" w:rsidP="00472F16">
      <w:pPr>
        <w:spacing w:line="480" w:lineRule="auto"/>
        <w:ind w:firstLine="708"/>
        <w:jc w:val="both"/>
        <w:rPr>
          <w:b/>
          <w:bCs/>
          <w:color w:val="000000" w:themeColor="text1"/>
          <w:lang w:val="en-US"/>
        </w:rPr>
      </w:pPr>
    </w:p>
    <w:p w14:paraId="4D56E091" w14:textId="77777777" w:rsidR="00A929E3" w:rsidRPr="00D55DA8" w:rsidRDefault="00A929E3">
      <w:pPr>
        <w:spacing w:before="120" w:line="360" w:lineRule="auto"/>
        <w:jc w:val="both"/>
        <w:rPr>
          <w:b/>
          <w:bCs/>
          <w:color w:val="000000" w:themeColor="text1"/>
          <w:lang w:val="en-US"/>
        </w:rPr>
      </w:pPr>
    </w:p>
    <w:p w14:paraId="1463C775" w14:textId="77777777" w:rsidR="00A929E3" w:rsidRPr="00D55DA8" w:rsidRDefault="00A929E3">
      <w:pPr>
        <w:spacing w:before="120" w:line="360" w:lineRule="auto"/>
        <w:jc w:val="both"/>
        <w:rPr>
          <w:b/>
          <w:bCs/>
          <w:color w:val="000000" w:themeColor="text1"/>
          <w:lang w:val="en-US"/>
        </w:rPr>
      </w:pPr>
    </w:p>
    <w:p w14:paraId="181252C5" w14:textId="77777777" w:rsidR="00A929E3" w:rsidRPr="00D55DA8" w:rsidRDefault="00A929E3">
      <w:pPr>
        <w:spacing w:before="120" w:line="360" w:lineRule="auto"/>
        <w:jc w:val="both"/>
        <w:rPr>
          <w:b/>
          <w:bCs/>
          <w:color w:val="000000" w:themeColor="text1"/>
          <w:lang w:val="en-US"/>
        </w:rPr>
      </w:pPr>
    </w:p>
    <w:p w14:paraId="5C486651" w14:textId="77777777" w:rsidR="00A929E3" w:rsidRPr="00D55DA8" w:rsidRDefault="00A929E3">
      <w:pPr>
        <w:spacing w:before="120" w:line="360" w:lineRule="auto"/>
        <w:jc w:val="both"/>
        <w:rPr>
          <w:b/>
          <w:bCs/>
          <w:color w:val="000000" w:themeColor="text1"/>
          <w:lang w:val="en-US"/>
        </w:rPr>
      </w:pPr>
    </w:p>
    <w:p w14:paraId="4B10962B" w14:textId="77777777" w:rsidR="00A929E3" w:rsidRPr="00D55DA8" w:rsidRDefault="00A929E3">
      <w:pPr>
        <w:spacing w:before="120" w:line="360" w:lineRule="auto"/>
        <w:jc w:val="both"/>
        <w:rPr>
          <w:b/>
          <w:bCs/>
          <w:color w:val="000000" w:themeColor="text1"/>
          <w:lang w:val="en-US"/>
        </w:rPr>
      </w:pPr>
    </w:p>
    <w:p w14:paraId="68E3B012" w14:textId="77777777" w:rsidR="00A929E3" w:rsidRPr="00D55DA8" w:rsidRDefault="00A929E3">
      <w:pPr>
        <w:spacing w:before="120" w:line="360" w:lineRule="auto"/>
        <w:jc w:val="both"/>
        <w:rPr>
          <w:b/>
          <w:bCs/>
          <w:color w:val="000000" w:themeColor="text1"/>
          <w:lang w:val="en-US"/>
        </w:rPr>
      </w:pPr>
    </w:p>
    <w:p w14:paraId="44BC1552" w14:textId="77777777" w:rsidR="00A929E3" w:rsidRPr="00D55DA8" w:rsidRDefault="00A929E3">
      <w:pPr>
        <w:spacing w:before="120" w:line="360" w:lineRule="auto"/>
        <w:jc w:val="both"/>
        <w:rPr>
          <w:b/>
          <w:bCs/>
          <w:color w:val="000000" w:themeColor="text1"/>
          <w:lang w:val="en-US"/>
        </w:rPr>
      </w:pPr>
    </w:p>
    <w:p w14:paraId="692E227A" w14:textId="77777777" w:rsidR="00A929E3" w:rsidRPr="00D55DA8" w:rsidRDefault="00A929E3">
      <w:pPr>
        <w:spacing w:before="120" w:line="360" w:lineRule="auto"/>
        <w:jc w:val="both"/>
        <w:rPr>
          <w:b/>
          <w:bCs/>
          <w:color w:val="000000" w:themeColor="text1"/>
          <w:lang w:val="en-US"/>
        </w:rPr>
      </w:pPr>
    </w:p>
    <w:p w14:paraId="7C0A9B70" w14:textId="77777777" w:rsidR="00A929E3" w:rsidRPr="00D55DA8" w:rsidRDefault="00A929E3">
      <w:pPr>
        <w:spacing w:before="120" w:line="360" w:lineRule="auto"/>
        <w:jc w:val="both"/>
        <w:rPr>
          <w:b/>
          <w:bCs/>
          <w:color w:val="000000" w:themeColor="text1"/>
          <w:lang w:val="en-US"/>
        </w:rPr>
      </w:pPr>
    </w:p>
    <w:p w14:paraId="21BEAEFE" w14:textId="7277E149" w:rsidR="00E21C2A" w:rsidRPr="00D55DA8" w:rsidRDefault="00E21C2A">
      <w:pPr>
        <w:spacing w:before="120" w:line="360" w:lineRule="auto"/>
        <w:jc w:val="both"/>
        <w:rPr>
          <w:b/>
          <w:bCs/>
          <w:color w:val="000000" w:themeColor="text1"/>
          <w:lang w:val="en-US"/>
        </w:rPr>
      </w:pPr>
      <w:r w:rsidRPr="00D55DA8">
        <w:rPr>
          <w:b/>
          <w:bCs/>
          <w:color w:val="000000" w:themeColor="text1"/>
          <w:lang w:val="en-US"/>
        </w:rPr>
        <w:lastRenderedPageBreak/>
        <w:t>Figure 2. Proportion of Canadians saying it is very important that the federal government try to reduce the deficit (dashed line) and those who approve the way the federal government is handling deficit and debt reduction, yearly averages.</w:t>
      </w:r>
    </w:p>
    <w:p w14:paraId="3A7F37C8" w14:textId="09F5374B" w:rsidR="00F7565B" w:rsidRPr="00D55DA8" w:rsidRDefault="00F7565B" w:rsidP="00472F16">
      <w:pPr>
        <w:spacing w:before="120" w:line="360" w:lineRule="auto"/>
        <w:jc w:val="center"/>
        <w:rPr>
          <w:b/>
          <w:bCs/>
          <w:color w:val="000000" w:themeColor="text1"/>
          <w:lang w:val="en-US"/>
        </w:rPr>
      </w:pPr>
      <w:r w:rsidRPr="00D55DA8">
        <w:rPr>
          <w:noProof/>
        </w:rPr>
        <w:drawing>
          <wp:inline distT="0" distB="0" distL="0" distR="0" wp14:anchorId="1F56E61B" wp14:editId="5DEC555B">
            <wp:extent cx="5824855" cy="2827444"/>
            <wp:effectExtent l="0" t="0" r="17145" b="17780"/>
            <wp:docPr id="5" name="Graphique 5">
              <a:extLst xmlns:a="http://schemas.openxmlformats.org/drawingml/2006/main">
                <a:ext uri="{FF2B5EF4-FFF2-40B4-BE49-F238E27FC236}">
                  <a16:creationId xmlns:a16="http://schemas.microsoft.com/office/drawing/2014/main" id="{9EBABBD7-8F04-D44F-86FB-4E1DDF9F5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8B7DD5" w14:textId="4397A119" w:rsidR="00A40F80" w:rsidRPr="00D55DA8" w:rsidRDefault="00A40F80" w:rsidP="000369CF">
      <w:pPr>
        <w:spacing w:line="480" w:lineRule="auto"/>
        <w:jc w:val="center"/>
        <w:rPr>
          <w:b/>
          <w:bCs/>
          <w:color w:val="000000" w:themeColor="text1"/>
        </w:rPr>
      </w:pPr>
    </w:p>
    <w:p w14:paraId="34438AED" w14:textId="77777777" w:rsidR="00472F16" w:rsidRPr="00D55DA8" w:rsidRDefault="00472F16" w:rsidP="00E21C2A">
      <w:pPr>
        <w:spacing w:line="480" w:lineRule="auto"/>
        <w:rPr>
          <w:b/>
          <w:bCs/>
          <w:lang w:val="en-US"/>
        </w:rPr>
      </w:pPr>
    </w:p>
    <w:p w14:paraId="7B733BDB" w14:textId="5DBCEFAC" w:rsidR="00E21C2A" w:rsidRPr="00D55DA8" w:rsidRDefault="00E21C2A" w:rsidP="00E21C2A">
      <w:pPr>
        <w:spacing w:line="480" w:lineRule="auto"/>
        <w:rPr>
          <w:b/>
          <w:bCs/>
          <w:lang w:val="en-US"/>
        </w:rPr>
      </w:pPr>
      <w:r w:rsidRPr="00D55DA8">
        <w:rPr>
          <w:b/>
          <w:bCs/>
          <w:lang w:val="en-US"/>
        </w:rPr>
        <w:t>Data and methods</w:t>
      </w:r>
    </w:p>
    <w:p w14:paraId="73F668F5" w14:textId="77777777" w:rsidR="00E21C2A" w:rsidRPr="00D55DA8" w:rsidRDefault="00E21C2A" w:rsidP="00E21C2A">
      <w:pPr>
        <w:spacing w:line="480" w:lineRule="auto"/>
        <w:rPr>
          <w:lang w:val="en-US"/>
        </w:rPr>
      </w:pPr>
    </w:p>
    <w:p w14:paraId="72BEF9C0" w14:textId="13D7C4E9" w:rsidR="00E21C2A" w:rsidRPr="00D55DA8" w:rsidRDefault="00E21C2A" w:rsidP="00E21C2A">
      <w:pPr>
        <w:spacing w:line="480" w:lineRule="auto"/>
        <w:jc w:val="both"/>
        <w:rPr>
          <w:color w:val="000000" w:themeColor="text1"/>
          <w:lang w:val="en-US"/>
        </w:rPr>
      </w:pPr>
      <w:r w:rsidRPr="00D55DA8">
        <w:rPr>
          <w:color w:val="000000" w:themeColor="text1"/>
          <w:lang w:val="en-US"/>
        </w:rPr>
        <w:t xml:space="preserve">We test these hypotheses using the </w:t>
      </w:r>
      <w:r w:rsidR="00A40F80" w:rsidRPr="00D55DA8">
        <w:rPr>
          <w:color w:val="000000" w:themeColor="text1"/>
          <w:lang w:val="en-US"/>
        </w:rPr>
        <w:t xml:space="preserve">federal </w:t>
      </w:r>
      <w:r w:rsidR="006260CE" w:rsidRPr="00D55DA8">
        <w:rPr>
          <w:color w:val="000000" w:themeColor="text1"/>
          <w:lang w:val="en-US"/>
        </w:rPr>
        <w:t xml:space="preserve">executive </w:t>
      </w:r>
      <w:r w:rsidRPr="00D55DA8">
        <w:rPr>
          <w:color w:val="000000" w:themeColor="text1"/>
          <w:lang w:val="en-US"/>
        </w:rPr>
        <w:t>approval series collected by the EAP</w:t>
      </w:r>
      <w:r w:rsidR="00FF2B6C">
        <w:rPr>
          <w:color w:val="000000" w:themeColor="text1"/>
          <w:lang w:val="en-US"/>
        </w:rPr>
        <w:t>, a widely used cross-national measure of executive approval (see Han and Shin 2021)</w:t>
      </w:r>
      <w:r w:rsidRPr="00D55DA8">
        <w:rPr>
          <w:color w:val="000000" w:themeColor="text1"/>
          <w:lang w:val="en-US"/>
        </w:rPr>
        <w:t>. The quarterly series covers the period 1978 to 2018 and is comprised of answers to questions asking samples of Canadians whether they approve or disapprove of the job the federal government is doing.</w:t>
      </w:r>
      <w:r w:rsidRPr="00D55DA8">
        <w:rPr>
          <w:rStyle w:val="Appeldenotedefin"/>
          <w:color w:val="000000" w:themeColor="text1"/>
        </w:rPr>
        <w:endnoteReference w:id="3"/>
      </w:r>
      <w:r w:rsidRPr="00D55DA8">
        <w:rPr>
          <w:color w:val="000000" w:themeColor="text1"/>
          <w:lang w:val="en-US"/>
        </w:rPr>
        <w:t xml:space="preserve"> Figure 3 illustrates the evolution of our dependent variable, net (positive minus negative) quarterly federal </w:t>
      </w:r>
      <w:r w:rsidR="006260CE" w:rsidRPr="00D55DA8">
        <w:rPr>
          <w:color w:val="000000" w:themeColor="text1"/>
          <w:lang w:val="en-US"/>
        </w:rPr>
        <w:t xml:space="preserve">executive </w:t>
      </w:r>
      <w:r w:rsidRPr="00D55DA8">
        <w:rPr>
          <w:color w:val="000000" w:themeColor="text1"/>
          <w:lang w:val="en-US"/>
        </w:rPr>
        <w:t xml:space="preserve">approval. The two extreme points correspond to the economic recession and the constitutional crisis that both occurred at the beginning of the 1990s and to the arrival of Justin Trudeau as Prime Minister in 2015. </w:t>
      </w:r>
    </w:p>
    <w:p w14:paraId="3997AF4E" w14:textId="77777777" w:rsidR="00A929E3" w:rsidRPr="00D55DA8" w:rsidRDefault="00A929E3" w:rsidP="00472F16">
      <w:pPr>
        <w:spacing w:before="120" w:line="480" w:lineRule="auto"/>
        <w:jc w:val="both"/>
        <w:rPr>
          <w:b/>
          <w:bCs/>
          <w:color w:val="000000" w:themeColor="text1"/>
          <w:lang w:val="en-US"/>
        </w:rPr>
      </w:pPr>
    </w:p>
    <w:p w14:paraId="2C9A11AA" w14:textId="77777777" w:rsidR="00A929E3" w:rsidRPr="00D55DA8" w:rsidRDefault="00A929E3" w:rsidP="00472F16">
      <w:pPr>
        <w:spacing w:before="120" w:line="480" w:lineRule="auto"/>
        <w:jc w:val="both"/>
        <w:rPr>
          <w:b/>
          <w:bCs/>
          <w:color w:val="000000" w:themeColor="text1"/>
          <w:lang w:val="en-US"/>
        </w:rPr>
      </w:pPr>
    </w:p>
    <w:p w14:paraId="36B9052F" w14:textId="0B727A9A" w:rsidR="00E21C2A" w:rsidRPr="00D55DA8" w:rsidRDefault="00E21C2A" w:rsidP="00472F16">
      <w:pPr>
        <w:spacing w:before="120" w:line="480" w:lineRule="auto"/>
        <w:jc w:val="both"/>
        <w:rPr>
          <w:b/>
          <w:bCs/>
          <w:color w:val="000000" w:themeColor="text1"/>
          <w:lang w:val="en-US"/>
        </w:rPr>
      </w:pPr>
      <w:r w:rsidRPr="00D55DA8">
        <w:rPr>
          <w:b/>
          <w:bCs/>
          <w:color w:val="000000" w:themeColor="text1"/>
          <w:lang w:val="en-US"/>
        </w:rPr>
        <w:lastRenderedPageBreak/>
        <w:t xml:space="preserve">Figure 3. Federal </w:t>
      </w:r>
      <w:r w:rsidR="006260CE" w:rsidRPr="00D55DA8">
        <w:rPr>
          <w:b/>
          <w:bCs/>
          <w:color w:val="000000" w:themeColor="text1"/>
          <w:lang w:val="en-US"/>
        </w:rPr>
        <w:t>Executive</w:t>
      </w:r>
      <w:r w:rsidRPr="00D55DA8">
        <w:rPr>
          <w:b/>
          <w:bCs/>
          <w:color w:val="000000" w:themeColor="text1"/>
          <w:lang w:val="en-US"/>
        </w:rPr>
        <w:t xml:space="preserve"> </w:t>
      </w:r>
      <w:r w:rsidR="00BD2A51" w:rsidRPr="00D55DA8">
        <w:rPr>
          <w:b/>
          <w:bCs/>
          <w:color w:val="000000" w:themeColor="text1"/>
          <w:lang w:val="en-US"/>
        </w:rPr>
        <w:t xml:space="preserve">Approval </w:t>
      </w:r>
      <w:r w:rsidRPr="00D55DA8">
        <w:rPr>
          <w:b/>
          <w:bCs/>
          <w:color w:val="000000" w:themeColor="text1"/>
          <w:lang w:val="en-US"/>
        </w:rPr>
        <w:t>in Canada, 1978-2018.</w:t>
      </w:r>
    </w:p>
    <w:p w14:paraId="7308B742" w14:textId="4A55C749" w:rsidR="00E21C2A" w:rsidRPr="00D55DA8" w:rsidRDefault="0086704C" w:rsidP="00E21C2A">
      <w:pPr>
        <w:spacing w:line="480" w:lineRule="auto"/>
        <w:jc w:val="both"/>
        <w:rPr>
          <w:color w:val="000000" w:themeColor="text1"/>
        </w:rPr>
      </w:pPr>
      <w:r w:rsidRPr="00D55DA8">
        <w:rPr>
          <w:noProof/>
          <w:color w:val="000000" w:themeColor="text1"/>
        </w:rPr>
        <w:drawing>
          <wp:inline distT="0" distB="0" distL="0" distR="0" wp14:anchorId="4DBB646F" wp14:editId="2C3B0DDC">
            <wp:extent cx="6332220" cy="2955290"/>
            <wp:effectExtent l="0" t="0" r="508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2955290"/>
                    </a:xfrm>
                    <a:prstGeom prst="rect">
                      <a:avLst/>
                    </a:prstGeom>
                  </pic:spPr>
                </pic:pic>
              </a:graphicData>
            </a:graphic>
          </wp:inline>
        </w:drawing>
      </w:r>
    </w:p>
    <w:p w14:paraId="67E6E5A7" w14:textId="68B1A963" w:rsidR="00E21C2A" w:rsidRPr="00D55DA8" w:rsidRDefault="00E21C2A" w:rsidP="00E21C2A">
      <w:pPr>
        <w:spacing w:line="480" w:lineRule="auto"/>
        <w:ind w:firstLine="708"/>
        <w:jc w:val="both"/>
        <w:rPr>
          <w:color w:val="000000" w:themeColor="text1"/>
          <w:lang w:val="en-US"/>
        </w:rPr>
      </w:pPr>
      <w:r w:rsidRPr="00D55DA8">
        <w:rPr>
          <w:color w:val="000000" w:themeColor="text1"/>
          <w:lang w:val="en-US"/>
        </w:rPr>
        <w:t xml:space="preserve">To model the effect of fiscal policies on </w:t>
      </w:r>
      <w:r w:rsidR="006260CE" w:rsidRPr="00D55DA8">
        <w:rPr>
          <w:color w:val="000000" w:themeColor="text1"/>
          <w:lang w:val="en-US"/>
        </w:rPr>
        <w:t xml:space="preserve">executive </w:t>
      </w:r>
      <w:r w:rsidRPr="00D55DA8">
        <w:rPr>
          <w:color w:val="000000" w:themeColor="text1"/>
          <w:lang w:val="en-US"/>
        </w:rPr>
        <w:t>approval, we analyze changes to governments’ net lending, the difference between expenditures and revenues, expressed quarterly as a proportion of GDP. We include macroeconomic variables common in studies of economic voting and popularity functions as control variables to ensure that the effect of net lending reflects fiscal policy changes and not only economic conditions. These economic controls are inflation, unemployment, and GDP growth, measured as changes from one quarter to the next</w:t>
      </w:r>
      <w:r w:rsidRPr="00D55DA8">
        <w:rPr>
          <w:rStyle w:val="Appeldenotedefin"/>
          <w:color w:val="000000" w:themeColor="text1"/>
          <w:lang w:val="en-US"/>
        </w:rPr>
        <w:endnoteReference w:id="4"/>
      </w:r>
      <w:r w:rsidRPr="00D55DA8">
        <w:rPr>
          <w:color w:val="000000" w:themeColor="text1"/>
          <w:lang w:val="en-US"/>
        </w:rPr>
        <w:t>. We expect that greater economic growth will correlate positively with approval, while both unemployment and inflation should decrease approval. The reference and descriptive statistics of the data used are presented in the appendix.</w:t>
      </w:r>
    </w:p>
    <w:p w14:paraId="56E7BCC1" w14:textId="61118A5C" w:rsidR="00E21C2A" w:rsidRPr="00D55DA8" w:rsidRDefault="00E21C2A" w:rsidP="00E21C2A">
      <w:pPr>
        <w:spacing w:line="480" w:lineRule="auto"/>
        <w:ind w:firstLine="708"/>
        <w:jc w:val="both"/>
        <w:rPr>
          <w:color w:val="000000" w:themeColor="text1"/>
          <w:lang w:val="en-US"/>
        </w:rPr>
      </w:pPr>
      <w:r w:rsidRPr="00D55DA8">
        <w:rPr>
          <w:color w:val="000000" w:themeColor="text1"/>
          <w:lang w:val="en-US"/>
        </w:rPr>
        <w:t xml:space="preserve">We </w:t>
      </w:r>
      <w:r w:rsidRPr="00D55DA8">
        <w:rPr>
          <w:lang w:val="en-US"/>
        </w:rPr>
        <w:t xml:space="preserve">also include several political variables. Congruent with results from popularity functions developed elsewhere, extant studies indicate that federal government support in Canada is affected positively by post-election honeymoons and negatively by the cost of ruling (Tellier 2006). </w:t>
      </w:r>
      <w:r w:rsidR="00851163" w:rsidRPr="00D55DA8">
        <w:rPr>
          <w:lang w:val="en-US"/>
        </w:rPr>
        <w:t xml:space="preserve">Both variables may also influence fiscal policies, as popular governments at the start of their mandate may be more likely to implement fiscal consolidations. </w:t>
      </w:r>
      <w:r w:rsidRPr="00D55DA8">
        <w:rPr>
          <w:lang w:val="en-US"/>
        </w:rPr>
        <w:t xml:space="preserve">In addition, some popularity functions have shown a rallying of support for the federal government in the wake of various Quebec-related constitutional crises that have threatened the national community over the years (Monroe and Erickson 1986). We thus </w:t>
      </w:r>
      <w:r w:rsidRPr="00D55DA8">
        <w:rPr>
          <w:lang w:val="en-US"/>
        </w:rPr>
        <w:lastRenderedPageBreak/>
        <w:t>introduce a honeymoon dummy variable coded 1 in the quarter of the election and on the quarter after it and zero otherwise, as well as a variable counting the number of months in office since a government was elected to account for the cost of ruling</w:t>
      </w:r>
      <w:r w:rsidRPr="00D55DA8">
        <w:rPr>
          <w:rStyle w:val="Appeldenotedefin"/>
          <w:lang w:val="en-US"/>
        </w:rPr>
        <w:endnoteReference w:id="5"/>
      </w:r>
      <w:r w:rsidRPr="00D55DA8">
        <w:rPr>
          <w:color w:val="000000" w:themeColor="text1"/>
          <w:lang w:val="en-US"/>
        </w:rPr>
        <w:t xml:space="preserve">. We </w:t>
      </w:r>
      <w:r w:rsidR="00087F7F" w:rsidRPr="00D55DA8">
        <w:rPr>
          <w:color w:val="000000" w:themeColor="text1"/>
          <w:lang w:val="en-US"/>
        </w:rPr>
        <w:t xml:space="preserve">also </w:t>
      </w:r>
      <w:r w:rsidRPr="00D55DA8">
        <w:rPr>
          <w:color w:val="000000" w:themeColor="text1"/>
          <w:lang w:val="en-US"/>
        </w:rPr>
        <w:t>add a dummy variable for major constitutional crises</w:t>
      </w:r>
      <w:r w:rsidRPr="00D55DA8">
        <w:rPr>
          <w:rStyle w:val="Appeldenotedefin"/>
          <w:color w:val="000000" w:themeColor="text1"/>
          <w:lang w:val="en-US"/>
        </w:rPr>
        <w:endnoteReference w:id="6"/>
      </w:r>
      <w:r w:rsidRPr="00D55DA8">
        <w:rPr>
          <w:color w:val="000000" w:themeColor="text1"/>
          <w:lang w:val="en-US"/>
        </w:rPr>
        <w:t>.</w:t>
      </w:r>
    </w:p>
    <w:p w14:paraId="17F20C85" w14:textId="6187201F" w:rsidR="00E21C2A" w:rsidRPr="00D55DA8" w:rsidRDefault="00423129" w:rsidP="00E21C2A">
      <w:pPr>
        <w:spacing w:line="480" w:lineRule="auto"/>
        <w:ind w:firstLine="708"/>
        <w:jc w:val="both"/>
        <w:rPr>
          <w:lang w:val="en-US"/>
        </w:rPr>
      </w:pPr>
      <w:r w:rsidRPr="00D55DA8">
        <w:rPr>
          <w:color w:val="000000" w:themeColor="text1"/>
          <w:lang w:val="en-US"/>
        </w:rPr>
        <w:t xml:space="preserve">We </w:t>
      </w:r>
      <w:r w:rsidR="00E21C2A" w:rsidRPr="00D55DA8">
        <w:rPr>
          <w:color w:val="000000" w:themeColor="text1"/>
          <w:lang w:val="en-US"/>
        </w:rPr>
        <w:t>use autoregressive distributed lag models. There aren’t many well-established theories regarding the appropriate number of lags to use and we don’t know how long it should take for the fiscal and economic variables to influence approval (Box-</w:t>
      </w:r>
      <w:r w:rsidR="00E21C2A" w:rsidRPr="00D55DA8">
        <w:rPr>
          <w:color w:val="000000" w:themeColor="text1"/>
          <w:shd w:val="clear" w:color="auto" w:fill="FFFFFF"/>
          <w:lang w:val="en-CA"/>
        </w:rPr>
        <w:t>Steffensmeier</w:t>
      </w:r>
      <w:r w:rsidR="00E21C2A" w:rsidRPr="00D55DA8">
        <w:rPr>
          <w:color w:val="000000" w:themeColor="text1"/>
          <w:lang w:val="en-US"/>
        </w:rPr>
        <w:t xml:space="preserve"> et al. 2014). We thus use a general to specific modelling strategy to find the appropriate number of lags (De </w:t>
      </w:r>
      <w:proofErr w:type="spellStart"/>
      <w:r w:rsidR="00E21C2A" w:rsidRPr="00D55DA8">
        <w:rPr>
          <w:color w:val="000000" w:themeColor="text1"/>
          <w:lang w:val="en-US"/>
        </w:rPr>
        <w:t>Boef</w:t>
      </w:r>
      <w:proofErr w:type="spellEnd"/>
      <w:r w:rsidR="00E21C2A" w:rsidRPr="00D55DA8">
        <w:rPr>
          <w:color w:val="000000" w:themeColor="text1"/>
          <w:lang w:val="en-US"/>
        </w:rPr>
        <w:t xml:space="preserve"> and </w:t>
      </w:r>
      <w:proofErr w:type="spellStart"/>
      <w:r w:rsidR="00E21C2A" w:rsidRPr="00D55DA8">
        <w:rPr>
          <w:color w:val="000000" w:themeColor="text1"/>
          <w:lang w:val="en-US"/>
        </w:rPr>
        <w:t>Keele</w:t>
      </w:r>
      <w:proofErr w:type="spellEnd"/>
      <w:r w:rsidR="00E21C2A" w:rsidRPr="00D55DA8">
        <w:rPr>
          <w:color w:val="000000" w:themeColor="text1"/>
          <w:lang w:val="en-US"/>
        </w:rPr>
        <w:t xml:space="preserve"> 2008).  To do so, we start by including 4 lags for each variable, then remove one lag from each variable, one model at the time, starting with the lags with the lowest T statistic and we keep the models with the lowest AIC/BIC possible (see </w:t>
      </w:r>
      <w:r w:rsidR="00E21C2A" w:rsidRPr="00D55DA8">
        <w:rPr>
          <w:lang w:val="en-US"/>
        </w:rPr>
        <w:t xml:space="preserve">Mishler and Sheehan 1996; De </w:t>
      </w:r>
      <w:proofErr w:type="spellStart"/>
      <w:r w:rsidR="00E21C2A" w:rsidRPr="00D55DA8">
        <w:rPr>
          <w:lang w:val="en-US"/>
        </w:rPr>
        <w:t>Boef</w:t>
      </w:r>
      <w:proofErr w:type="spellEnd"/>
      <w:r w:rsidR="00E21C2A" w:rsidRPr="00D55DA8">
        <w:rPr>
          <w:lang w:val="en-US"/>
        </w:rPr>
        <w:t xml:space="preserve"> and </w:t>
      </w:r>
      <w:proofErr w:type="spellStart"/>
      <w:r w:rsidR="00E21C2A" w:rsidRPr="00D55DA8">
        <w:rPr>
          <w:lang w:val="en-US"/>
        </w:rPr>
        <w:t>Keele</w:t>
      </w:r>
      <w:proofErr w:type="spellEnd"/>
      <w:r w:rsidR="00E21C2A" w:rsidRPr="00D55DA8">
        <w:rPr>
          <w:lang w:val="en-US"/>
        </w:rPr>
        <w:t xml:space="preserve"> 2008; Webb 2018). This leads to partial adjustment models with varying lag structures that are unbiased</w:t>
      </w:r>
      <w:r w:rsidR="00776D33" w:rsidRPr="00D55DA8">
        <w:rPr>
          <w:lang w:val="en-US"/>
        </w:rPr>
        <w:t xml:space="preserve">. </w:t>
      </w:r>
      <w:r w:rsidR="00E21C2A" w:rsidRPr="00D55DA8">
        <w:rPr>
          <w:lang w:val="en-US"/>
        </w:rPr>
        <w:t>Portmanteau</w:t>
      </w:r>
      <w:r w:rsidR="006261F0" w:rsidRPr="00D55DA8">
        <w:rPr>
          <w:lang w:val="en-US"/>
        </w:rPr>
        <w:t xml:space="preserve">, </w:t>
      </w:r>
      <w:r w:rsidR="006261F0" w:rsidRPr="00D55DA8">
        <w:rPr>
          <w:shd w:val="clear" w:color="auto" w:fill="FFFFFF"/>
          <w:lang w:val="en-CA"/>
        </w:rPr>
        <w:t>Breusch-</w:t>
      </w:r>
      <w:proofErr w:type="gramStart"/>
      <w:r w:rsidR="006261F0" w:rsidRPr="00D55DA8">
        <w:rPr>
          <w:shd w:val="clear" w:color="auto" w:fill="FFFFFF"/>
          <w:lang w:val="en-CA"/>
        </w:rPr>
        <w:t>Godfrey</w:t>
      </w:r>
      <w:proofErr w:type="gramEnd"/>
      <w:r w:rsidR="006261F0" w:rsidRPr="00D55DA8">
        <w:rPr>
          <w:shd w:val="clear" w:color="auto" w:fill="FFFFFF"/>
          <w:lang w:val="en-CA"/>
        </w:rPr>
        <w:t xml:space="preserve"> and Cumby</w:t>
      </w:r>
      <w:r w:rsidR="00821ECF" w:rsidRPr="00D55DA8">
        <w:rPr>
          <w:shd w:val="clear" w:color="auto" w:fill="FFFFFF"/>
          <w:lang w:val="en-CA"/>
        </w:rPr>
        <w:t>-</w:t>
      </w:r>
      <w:r w:rsidR="006261F0" w:rsidRPr="00D55DA8">
        <w:rPr>
          <w:shd w:val="clear" w:color="auto" w:fill="FFFFFF"/>
          <w:lang w:val="en-CA"/>
        </w:rPr>
        <w:t>Huizinga</w:t>
      </w:r>
      <w:r w:rsidR="00E21C2A" w:rsidRPr="00D55DA8">
        <w:rPr>
          <w:lang w:val="en-US"/>
        </w:rPr>
        <w:t xml:space="preserve"> tests show that </w:t>
      </w:r>
      <w:r w:rsidR="006261F0" w:rsidRPr="00D55DA8">
        <w:rPr>
          <w:shd w:val="clear" w:color="auto" w:fill="FFFFFF"/>
          <w:lang w:val="en-CA"/>
        </w:rPr>
        <w:t>there is no serial correlation in the residuals of our models</w:t>
      </w:r>
      <w:r w:rsidR="00E21C2A" w:rsidRPr="00D55DA8">
        <w:rPr>
          <w:lang w:val="en-US"/>
        </w:rPr>
        <w:t xml:space="preserve"> (Beck and Katz 2011). </w:t>
      </w:r>
      <w:r w:rsidR="00E527E8" w:rsidRPr="00D55DA8">
        <w:rPr>
          <w:lang w:val="en-US"/>
        </w:rPr>
        <w:t xml:space="preserve">This modelling strategy leaves us </w:t>
      </w:r>
      <w:r w:rsidRPr="00D55DA8">
        <w:rPr>
          <w:lang w:val="en-US"/>
        </w:rPr>
        <w:t xml:space="preserve">also </w:t>
      </w:r>
      <w:r w:rsidR="00E527E8" w:rsidRPr="00D55DA8">
        <w:rPr>
          <w:lang w:val="en-US"/>
        </w:rPr>
        <w:t>with a lagged dependent variable</w:t>
      </w:r>
      <w:r w:rsidRPr="00D55DA8">
        <w:rPr>
          <w:lang w:val="en-US"/>
        </w:rPr>
        <w:t xml:space="preserve"> (at T-1)</w:t>
      </w:r>
      <w:r w:rsidR="00E527E8" w:rsidRPr="00D55DA8">
        <w:rPr>
          <w:lang w:val="en-US"/>
        </w:rPr>
        <w:t xml:space="preserve">. </w:t>
      </w:r>
    </w:p>
    <w:p w14:paraId="30AB09AD" w14:textId="30565B3F" w:rsidR="002A3C00" w:rsidRPr="00D55DA8" w:rsidRDefault="00E21C2A" w:rsidP="00E21C2A">
      <w:pPr>
        <w:spacing w:line="480" w:lineRule="auto"/>
        <w:ind w:firstLine="708"/>
        <w:jc w:val="both"/>
        <w:rPr>
          <w:color w:val="000000" w:themeColor="text1"/>
          <w:lang w:val="en-US"/>
        </w:rPr>
      </w:pPr>
      <w:r w:rsidRPr="00D55DA8">
        <w:rPr>
          <w:color w:val="000000" w:themeColor="text1"/>
          <w:lang w:val="en-US"/>
        </w:rPr>
        <w:t>Stationarity tests</w:t>
      </w:r>
      <w:r w:rsidRPr="00D55DA8">
        <w:rPr>
          <w:rStyle w:val="Appeldenotedefin"/>
          <w:color w:val="000000" w:themeColor="text1"/>
          <w:lang w:val="en-US"/>
        </w:rPr>
        <w:endnoteReference w:id="7"/>
      </w:r>
      <w:r w:rsidRPr="00D55DA8">
        <w:rPr>
          <w:color w:val="000000" w:themeColor="text1"/>
          <w:lang w:val="en-US"/>
        </w:rPr>
        <w:t xml:space="preserve"> </w:t>
      </w:r>
      <w:r w:rsidR="00CA283A" w:rsidRPr="00D55DA8">
        <w:rPr>
          <w:color w:val="000000" w:themeColor="text1"/>
          <w:lang w:val="en-US"/>
        </w:rPr>
        <w:t>show that the economic and fiscal variables have a unit root. To ensure stationarity, we first difference them. Our independent variable</w:t>
      </w:r>
      <w:r w:rsidR="00821ECF" w:rsidRPr="00D55DA8">
        <w:rPr>
          <w:color w:val="000000" w:themeColor="text1"/>
          <w:lang w:val="en-US"/>
        </w:rPr>
        <w:t>s</w:t>
      </w:r>
      <w:r w:rsidR="00CA283A" w:rsidRPr="00D55DA8">
        <w:rPr>
          <w:color w:val="000000" w:themeColor="text1"/>
          <w:lang w:val="en-US"/>
        </w:rPr>
        <w:t xml:space="preserve"> thus </w:t>
      </w:r>
      <w:r w:rsidR="003A44B7" w:rsidRPr="00D55DA8">
        <w:rPr>
          <w:color w:val="000000" w:themeColor="text1"/>
          <w:lang w:val="en-US"/>
        </w:rPr>
        <w:t>represent</w:t>
      </w:r>
      <w:r w:rsidR="00CA283A" w:rsidRPr="00D55DA8">
        <w:rPr>
          <w:color w:val="000000" w:themeColor="text1"/>
          <w:lang w:val="en-US"/>
        </w:rPr>
        <w:t xml:space="preserve"> quarterly changes to economic conditions and to net lending</w:t>
      </w:r>
      <w:r w:rsidR="002A3C00" w:rsidRPr="00D55DA8">
        <w:rPr>
          <w:color w:val="000000" w:themeColor="text1"/>
          <w:lang w:val="en-US"/>
        </w:rPr>
        <w:t xml:space="preserve">. </w:t>
      </w:r>
      <w:r w:rsidR="006260CE" w:rsidRPr="00D55DA8">
        <w:rPr>
          <w:color w:val="000000" w:themeColor="text1"/>
          <w:lang w:val="en-US"/>
        </w:rPr>
        <w:t xml:space="preserve">Executive </w:t>
      </w:r>
      <w:r w:rsidR="002A3C00" w:rsidRPr="00D55DA8">
        <w:rPr>
          <w:color w:val="000000" w:themeColor="text1"/>
          <w:lang w:val="en-US"/>
        </w:rPr>
        <w:t xml:space="preserve">approval, however, is stationary and is thus presented in levels. </w:t>
      </w:r>
    </w:p>
    <w:p w14:paraId="4F9B02FB" w14:textId="1D04E7C1" w:rsidR="003A44B7" w:rsidRPr="00D55DA8" w:rsidRDefault="00500966" w:rsidP="00E21C2A">
      <w:pPr>
        <w:spacing w:line="480" w:lineRule="auto"/>
        <w:ind w:firstLine="708"/>
        <w:jc w:val="both"/>
        <w:rPr>
          <w:lang w:val="en-US"/>
        </w:rPr>
      </w:pPr>
      <w:r w:rsidRPr="00D55DA8">
        <w:rPr>
          <w:color w:val="000000" w:themeColor="text1"/>
          <w:lang w:val="en-US"/>
        </w:rPr>
        <w:t xml:space="preserve">To test our main hypothesis, we divide the dataset into two main periods: </w:t>
      </w:r>
      <w:r w:rsidRPr="00D55DA8">
        <w:rPr>
          <w:lang w:val="en-US"/>
        </w:rPr>
        <w:t>between 1978 and the 1993 election (3</w:t>
      </w:r>
      <w:r w:rsidRPr="00D55DA8">
        <w:rPr>
          <w:vertAlign w:val="superscript"/>
          <w:lang w:val="en-US"/>
        </w:rPr>
        <w:t>rd</w:t>
      </w:r>
      <w:r w:rsidRPr="00D55DA8">
        <w:rPr>
          <w:lang w:val="en-US"/>
        </w:rPr>
        <w:t xml:space="preserve"> quarter) and between the last quarter of 1993 and 2018</w:t>
      </w:r>
      <w:r w:rsidR="005D4929" w:rsidRPr="00D55DA8">
        <w:rPr>
          <w:lang w:val="en-US"/>
        </w:rPr>
        <w:t>. We pick the 1993 election since it marks the start of the new fiscal policy regime we study, which is put in place in the 1995 budget</w:t>
      </w:r>
      <w:r w:rsidR="006C794A" w:rsidRPr="00D55DA8">
        <w:rPr>
          <w:lang w:val="en-US"/>
        </w:rPr>
        <w:t xml:space="preserve"> (Lewis 2003)</w:t>
      </w:r>
      <w:r w:rsidR="005D4929" w:rsidRPr="00D55DA8">
        <w:rPr>
          <w:lang w:val="en-US"/>
        </w:rPr>
        <w:t xml:space="preserve">. Rather than starting with this </w:t>
      </w:r>
      <w:r w:rsidR="003A44B7" w:rsidRPr="00D55DA8">
        <w:rPr>
          <w:lang w:val="en-US"/>
        </w:rPr>
        <w:t>specific</w:t>
      </w:r>
      <w:r w:rsidR="005D4929" w:rsidRPr="00D55DA8">
        <w:rPr>
          <w:lang w:val="en-US"/>
        </w:rPr>
        <w:t xml:space="preserve"> budget, we include the full mandate of the government associated with this change in </w:t>
      </w:r>
      <w:r w:rsidR="008622F3" w:rsidRPr="00D55DA8">
        <w:rPr>
          <w:lang w:val="en-US"/>
        </w:rPr>
        <w:t xml:space="preserve">the </w:t>
      </w:r>
      <w:r w:rsidR="005D4929" w:rsidRPr="00D55DA8">
        <w:rPr>
          <w:lang w:val="en-US"/>
        </w:rPr>
        <w:t xml:space="preserve">fiscal regime. </w:t>
      </w:r>
    </w:p>
    <w:p w14:paraId="0824D949" w14:textId="3D4CB079" w:rsidR="000A4DC6" w:rsidRPr="00D55DA8" w:rsidRDefault="000A4DC6" w:rsidP="00E21C2A">
      <w:pPr>
        <w:spacing w:line="480" w:lineRule="auto"/>
        <w:ind w:firstLine="708"/>
        <w:jc w:val="both"/>
        <w:rPr>
          <w:lang w:val="en-US"/>
        </w:rPr>
      </w:pPr>
      <w:r w:rsidRPr="00D55DA8">
        <w:rPr>
          <w:lang w:val="en-US"/>
        </w:rPr>
        <w:t xml:space="preserve">Johnston (1999) and Pickup (2004) </w:t>
      </w:r>
      <w:r w:rsidR="00721EA4" w:rsidRPr="00D55DA8">
        <w:rPr>
          <w:lang w:val="en-US"/>
        </w:rPr>
        <w:t>divided their dataset in a similar manner</w:t>
      </w:r>
      <w:r w:rsidRPr="00D55DA8">
        <w:rPr>
          <w:lang w:val="en-US"/>
        </w:rPr>
        <w:t>, as they suggested that</w:t>
      </w:r>
      <w:r w:rsidRPr="00D55DA8">
        <w:rPr>
          <w:color w:val="000000" w:themeColor="text1"/>
          <w:lang w:val="en-US"/>
        </w:rPr>
        <w:t xml:space="preserve"> the new multiparty system that emerged in 1993 may have altered the relationship between </w:t>
      </w:r>
      <w:r w:rsidRPr="00D55DA8">
        <w:rPr>
          <w:color w:val="000000" w:themeColor="text1"/>
          <w:lang w:val="en-US"/>
        </w:rPr>
        <w:lastRenderedPageBreak/>
        <w:t xml:space="preserve">economics and </w:t>
      </w:r>
      <w:r w:rsidR="00A648E0" w:rsidRPr="00D55DA8">
        <w:rPr>
          <w:color w:val="000000" w:themeColor="text1"/>
          <w:lang w:val="en-US"/>
        </w:rPr>
        <w:t>executive approval</w:t>
      </w:r>
      <w:r w:rsidRPr="00D55DA8">
        <w:rPr>
          <w:color w:val="000000" w:themeColor="text1"/>
          <w:lang w:val="en-US"/>
        </w:rPr>
        <w:t xml:space="preserve"> in Canada. Indeed, the October 1993 federal election is a landmark in Canadian politics. The government led by the Progressive Conservative Party of Canada suffered the worst defeat of an incumbent in Canadian history, holding 156 seats before the election and keeping only two after it. After two failed constitutional agreements, the Progressive Conservatives suffered from a three-way split </w:t>
      </w:r>
      <w:proofErr w:type="spellStart"/>
      <w:r w:rsidR="0069229C" w:rsidRPr="00D55DA8">
        <w:rPr>
          <w:color w:val="000000" w:themeColor="text1"/>
          <w:lang w:val="en-US"/>
        </w:rPr>
        <w:t>fuel</w:t>
      </w:r>
      <w:r w:rsidR="00A0519A" w:rsidRPr="00D55DA8">
        <w:rPr>
          <w:color w:val="000000" w:themeColor="text1"/>
          <w:lang w:val="en-US"/>
        </w:rPr>
        <w:t>l</w:t>
      </w:r>
      <w:r w:rsidR="0069229C" w:rsidRPr="00D55DA8">
        <w:rPr>
          <w:color w:val="000000" w:themeColor="text1"/>
          <w:lang w:val="en-US"/>
        </w:rPr>
        <w:t>ed</w:t>
      </w:r>
      <w:proofErr w:type="spellEnd"/>
      <w:r w:rsidRPr="00D55DA8">
        <w:rPr>
          <w:color w:val="000000" w:themeColor="text1"/>
          <w:lang w:val="en-US"/>
        </w:rPr>
        <w:t xml:space="preserve"> by regional grievances, leading to the surge of the Bloc Québécois and the Western-based Reform </w:t>
      </w:r>
      <w:r w:rsidRPr="00D55DA8">
        <w:rPr>
          <w:lang w:val="en-US"/>
        </w:rPr>
        <w:t xml:space="preserve">Party (Bélanger 2004). To ensure that the changes to the effect of fiscal policy variables on </w:t>
      </w:r>
      <w:r w:rsidR="00A648E0" w:rsidRPr="00D55DA8">
        <w:rPr>
          <w:lang w:val="en-US"/>
        </w:rPr>
        <w:t>executive approval</w:t>
      </w:r>
      <w:r w:rsidRPr="00D55DA8">
        <w:rPr>
          <w:lang w:val="en-US"/>
        </w:rPr>
        <w:t xml:space="preserve"> before and after the 1993 election </w:t>
      </w:r>
      <w:r w:rsidR="00AF3FDB" w:rsidRPr="00D55DA8">
        <w:rPr>
          <w:lang w:val="en-US"/>
        </w:rPr>
        <w:t xml:space="preserve">are not a </w:t>
      </w:r>
      <w:r w:rsidRPr="00D55DA8">
        <w:rPr>
          <w:lang w:val="en-US"/>
        </w:rPr>
        <w:t xml:space="preserve">mere reflection of how a fragmented opposition could change the dynamics of accountability, we also control for the effective number of parties. </w:t>
      </w:r>
    </w:p>
    <w:p w14:paraId="1EC883FF" w14:textId="1A21B803" w:rsidR="003A44B7" w:rsidRPr="00D55DA8" w:rsidRDefault="0069229C" w:rsidP="00472F16">
      <w:pPr>
        <w:spacing w:line="480" w:lineRule="auto"/>
        <w:ind w:firstLine="708"/>
        <w:jc w:val="both"/>
        <w:rPr>
          <w:lang w:val="en-US"/>
        </w:rPr>
      </w:pPr>
      <w:r w:rsidRPr="00D55DA8">
        <w:rPr>
          <w:lang w:val="en-US"/>
        </w:rPr>
        <w:t>To</w:t>
      </w:r>
      <w:r w:rsidR="003A44B7" w:rsidRPr="00D55DA8">
        <w:rPr>
          <w:lang w:val="en-US"/>
        </w:rPr>
        <w:t xml:space="preserve"> </w:t>
      </w:r>
      <w:r w:rsidRPr="00D55DA8">
        <w:rPr>
          <w:lang w:val="en-US"/>
        </w:rPr>
        <w:t>confirm</w:t>
      </w:r>
      <w:r w:rsidR="003A44B7" w:rsidRPr="00D55DA8">
        <w:rPr>
          <w:lang w:val="en-US"/>
        </w:rPr>
        <w:t xml:space="preserve"> that the temporal division we </w:t>
      </w:r>
      <w:r w:rsidR="00AF3FDB" w:rsidRPr="00D55DA8">
        <w:rPr>
          <w:lang w:val="en-US"/>
        </w:rPr>
        <w:t xml:space="preserve">impose </w:t>
      </w:r>
      <w:r w:rsidR="003A44B7" w:rsidRPr="00D55DA8">
        <w:rPr>
          <w:lang w:val="en-US"/>
        </w:rPr>
        <w:t xml:space="preserve">is accurate, </w:t>
      </w:r>
      <w:r w:rsidR="005D4929" w:rsidRPr="00D55DA8">
        <w:rPr>
          <w:lang w:val="en-US"/>
        </w:rPr>
        <w:t xml:space="preserve">we </w:t>
      </w:r>
      <w:r w:rsidR="00721EA4" w:rsidRPr="00D55DA8">
        <w:rPr>
          <w:lang w:val="en-US"/>
        </w:rPr>
        <w:t>used</w:t>
      </w:r>
      <w:r w:rsidR="005D4929" w:rsidRPr="00D55DA8">
        <w:rPr>
          <w:lang w:val="en-US"/>
        </w:rPr>
        <w:t xml:space="preserve"> Wald test</w:t>
      </w:r>
      <w:r w:rsidR="00AF3FDB" w:rsidRPr="00D55DA8">
        <w:rPr>
          <w:lang w:val="en-US"/>
        </w:rPr>
        <w:t>s</w:t>
      </w:r>
      <w:r w:rsidR="005D4929" w:rsidRPr="00D55DA8">
        <w:rPr>
          <w:lang w:val="en-US"/>
        </w:rPr>
        <w:t xml:space="preserve"> to identify breaks</w:t>
      </w:r>
      <w:r w:rsidR="00AF3FDB" w:rsidRPr="00D55DA8">
        <w:rPr>
          <w:lang w:val="en-US"/>
        </w:rPr>
        <w:t xml:space="preserve"> in the series</w:t>
      </w:r>
      <w:r w:rsidR="005D4929" w:rsidRPr="00D55DA8">
        <w:rPr>
          <w:lang w:val="en-US"/>
        </w:rPr>
        <w:t>. When assigning the break to the 1993 election, the Wald test confirms a structural break for the net lending variable. With an unspecified break, determined by the test itself, the Wald test reveals a break in the third quarter of 1991 for net lending</w:t>
      </w:r>
      <w:r w:rsidR="00D946DA" w:rsidRPr="00D55DA8">
        <w:rPr>
          <w:lang w:val="en-US"/>
        </w:rPr>
        <w:t xml:space="preserve">. </w:t>
      </w:r>
      <w:r w:rsidR="00FF2284" w:rsidRPr="00D55DA8">
        <w:rPr>
          <w:lang w:val="en-US"/>
        </w:rPr>
        <w:t xml:space="preserve">Although using 1991 doesn’t alter the results, we break the series into two in 1993 since it is theoretically motivated and because both tests </w:t>
      </w:r>
      <w:r w:rsidR="007126C2" w:rsidRPr="00D55DA8">
        <w:rPr>
          <w:lang w:val="en-US"/>
        </w:rPr>
        <w:t xml:space="preserve">suggest that our decision to separate the dataset into these two periods is correct </w:t>
      </w:r>
      <w:r w:rsidR="00AF3FDB" w:rsidRPr="00D55DA8">
        <w:rPr>
          <w:lang w:val="en-US"/>
        </w:rPr>
        <w:t xml:space="preserve">for </w:t>
      </w:r>
      <w:r w:rsidR="007126C2" w:rsidRPr="00D55DA8">
        <w:rPr>
          <w:lang w:val="en-US"/>
        </w:rPr>
        <w:t>test</w:t>
      </w:r>
      <w:r w:rsidR="00AF3FDB" w:rsidRPr="00D55DA8">
        <w:rPr>
          <w:lang w:val="en-US"/>
        </w:rPr>
        <w:t>ing</w:t>
      </w:r>
      <w:r w:rsidR="007126C2" w:rsidRPr="00D55DA8">
        <w:rPr>
          <w:lang w:val="en-US"/>
        </w:rPr>
        <w:t xml:space="preserve"> the time-varying effect of net lending on approval</w:t>
      </w:r>
      <w:r w:rsidR="005D4929" w:rsidRPr="00D55DA8">
        <w:rPr>
          <w:lang w:val="en-US"/>
        </w:rPr>
        <w:t>.</w:t>
      </w:r>
      <w:r w:rsidR="00B53953" w:rsidRPr="00D55DA8">
        <w:rPr>
          <w:lang w:val="en-US"/>
        </w:rPr>
        <w:t xml:space="preserve"> </w:t>
      </w:r>
      <w:r w:rsidR="00F7679B" w:rsidRPr="00D55DA8">
        <w:rPr>
          <w:lang w:val="en-US"/>
        </w:rPr>
        <w:t xml:space="preserve">We provide a further disaggregation of the sample with an additional analysis limited to the Chrétien-Martin era (1993-2006) since it is the government that has been associated with a successful fiscal consolidation and </w:t>
      </w:r>
      <w:r w:rsidRPr="00D55DA8">
        <w:rPr>
          <w:lang w:val="en-US"/>
        </w:rPr>
        <w:t xml:space="preserve">with </w:t>
      </w:r>
      <w:r w:rsidR="00F7679B" w:rsidRPr="00D55DA8">
        <w:rPr>
          <w:lang w:val="en-US"/>
        </w:rPr>
        <w:t xml:space="preserve">the entrenchment of the surplus regime (Savoie 1999; Lewis 2003; </w:t>
      </w:r>
      <w:proofErr w:type="spellStart"/>
      <w:r w:rsidR="00F7679B" w:rsidRPr="00D55DA8">
        <w:rPr>
          <w:lang w:val="en-US"/>
        </w:rPr>
        <w:t>Haffert</w:t>
      </w:r>
      <w:proofErr w:type="spellEnd"/>
      <w:r w:rsidR="00F7679B" w:rsidRPr="00D55DA8">
        <w:rPr>
          <w:lang w:val="en-US"/>
        </w:rPr>
        <w:t xml:space="preserve"> 2019). </w:t>
      </w:r>
      <w:r w:rsidR="00721EA4" w:rsidRPr="00D55DA8">
        <w:rPr>
          <w:lang w:val="en-US"/>
        </w:rPr>
        <w:t>Finally, we</w:t>
      </w:r>
      <w:r w:rsidR="00B53953" w:rsidRPr="00D55DA8">
        <w:rPr>
          <w:lang w:val="en-US"/>
        </w:rPr>
        <w:t xml:space="preserve"> conclude our analysis with a rolling regression to verify if the coefficient of the net lending variable changes over</w:t>
      </w:r>
      <w:r w:rsidR="00125129" w:rsidRPr="00D55DA8">
        <w:rPr>
          <w:lang w:val="en-US"/>
        </w:rPr>
        <w:t xml:space="preserve"> </w:t>
      </w:r>
      <w:r w:rsidR="00B53953" w:rsidRPr="00D55DA8">
        <w:rPr>
          <w:lang w:val="en-US"/>
        </w:rPr>
        <w:t xml:space="preserve">time. </w:t>
      </w:r>
    </w:p>
    <w:p w14:paraId="7717FB50" w14:textId="77777777" w:rsidR="004B4B47" w:rsidRPr="00D55DA8" w:rsidRDefault="004B4B47" w:rsidP="00E21C2A">
      <w:pPr>
        <w:spacing w:line="480" w:lineRule="auto"/>
        <w:jc w:val="both"/>
        <w:rPr>
          <w:b/>
          <w:bCs/>
          <w:color w:val="000000" w:themeColor="text1"/>
          <w:lang w:val="en-US"/>
        </w:rPr>
      </w:pPr>
    </w:p>
    <w:p w14:paraId="06A77303" w14:textId="121CD4AF" w:rsidR="00500966" w:rsidRPr="00D55DA8" w:rsidRDefault="005D4929" w:rsidP="00E21C2A">
      <w:pPr>
        <w:spacing w:line="480" w:lineRule="auto"/>
        <w:jc w:val="both"/>
        <w:rPr>
          <w:b/>
          <w:bCs/>
          <w:color w:val="000000" w:themeColor="text1"/>
          <w:lang w:val="en-US"/>
        </w:rPr>
      </w:pPr>
      <w:r w:rsidRPr="00D55DA8">
        <w:rPr>
          <w:b/>
          <w:bCs/>
          <w:color w:val="000000" w:themeColor="text1"/>
          <w:lang w:val="en-US"/>
        </w:rPr>
        <w:t>Results</w:t>
      </w:r>
    </w:p>
    <w:p w14:paraId="71E25B32" w14:textId="648A1930" w:rsidR="00721EA4" w:rsidRPr="00D55DA8" w:rsidRDefault="00721EA4" w:rsidP="00E21C2A">
      <w:pPr>
        <w:spacing w:line="480" w:lineRule="auto"/>
        <w:jc w:val="both"/>
        <w:rPr>
          <w:b/>
          <w:bCs/>
          <w:color w:val="000000" w:themeColor="text1"/>
          <w:lang w:val="en-US"/>
        </w:rPr>
      </w:pPr>
    </w:p>
    <w:p w14:paraId="71F73113" w14:textId="08A2D012" w:rsidR="00F46857" w:rsidRPr="00D55DA8" w:rsidRDefault="00721EA4" w:rsidP="00E21C2A">
      <w:pPr>
        <w:spacing w:line="480" w:lineRule="auto"/>
        <w:jc w:val="both"/>
        <w:rPr>
          <w:color w:val="000000" w:themeColor="text1"/>
          <w:lang w:val="en-US"/>
        </w:rPr>
      </w:pPr>
      <w:r w:rsidRPr="00D55DA8">
        <w:rPr>
          <w:color w:val="000000" w:themeColor="text1"/>
          <w:lang w:val="en-US"/>
        </w:rPr>
        <w:t>Model 1 in table 1 presents the results of the regression</w:t>
      </w:r>
      <w:r w:rsidR="00821ECF" w:rsidRPr="00D55DA8">
        <w:rPr>
          <w:color w:val="000000" w:themeColor="text1"/>
          <w:lang w:val="en-US"/>
        </w:rPr>
        <w:t xml:space="preserve"> estimated on</w:t>
      </w:r>
      <w:r w:rsidRPr="00D55DA8">
        <w:rPr>
          <w:color w:val="000000" w:themeColor="text1"/>
          <w:lang w:val="en-US"/>
        </w:rPr>
        <w:t xml:space="preserve"> the full sample, </w:t>
      </w:r>
      <w:r w:rsidR="00821ECF" w:rsidRPr="00D55DA8">
        <w:rPr>
          <w:color w:val="000000" w:themeColor="text1"/>
          <w:lang w:val="en-US"/>
        </w:rPr>
        <w:t xml:space="preserve">while </w:t>
      </w:r>
      <w:r w:rsidR="00416F2B" w:rsidRPr="00D55DA8">
        <w:rPr>
          <w:color w:val="000000" w:themeColor="text1"/>
          <w:lang w:val="en-US"/>
        </w:rPr>
        <w:t>models</w:t>
      </w:r>
      <w:r w:rsidRPr="00D55DA8">
        <w:rPr>
          <w:color w:val="000000" w:themeColor="text1"/>
          <w:lang w:val="en-US"/>
        </w:rPr>
        <w:t xml:space="preserve"> 2</w:t>
      </w:r>
      <w:r w:rsidR="0035673C" w:rsidRPr="00D55DA8">
        <w:rPr>
          <w:color w:val="000000" w:themeColor="text1"/>
          <w:lang w:val="en-US"/>
        </w:rPr>
        <w:t xml:space="preserve"> and 3</w:t>
      </w:r>
      <w:r w:rsidRPr="00D55DA8">
        <w:rPr>
          <w:color w:val="000000" w:themeColor="text1"/>
          <w:lang w:val="en-US"/>
        </w:rPr>
        <w:t xml:space="preserve"> </w:t>
      </w:r>
      <w:r w:rsidR="004B4B47" w:rsidRPr="00D55DA8">
        <w:rPr>
          <w:color w:val="000000" w:themeColor="text1"/>
          <w:lang w:val="en-US"/>
        </w:rPr>
        <w:t xml:space="preserve">interact net lending with a time dummy, corresponding to the period after the 1993 election or to the </w:t>
      </w:r>
      <w:r w:rsidR="004B4B47" w:rsidRPr="00D55DA8">
        <w:rPr>
          <w:color w:val="000000" w:themeColor="text1"/>
          <w:lang w:val="en-US"/>
        </w:rPr>
        <w:lastRenderedPageBreak/>
        <w:t xml:space="preserve">Chrétien-Martin era. Models 4 to 6 present regressions with split samples to </w:t>
      </w:r>
      <w:r w:rsidR="001007BE" w:rsidRPr="00D55DA8">
        <w:rPr>
          <w:color w:val="000000" w:themeColor="text1"/>
          <w:lang w:val="en-US"/>
        </w:rPr>
        <w:t xml:space="preserve">confirm that the results are robust to this alternative modelling strategy </w:t>
      </w:r>
      <w:r w:rsidR="004B4B47" w:rsidRPr="00D55DA8">
        <w:rPr>
          <w:color w:val="000000" w:themeColor="text1"/>
          <w:lang w:val="en-US"/>
        </w:rPr>
        <w:t>(we also present models interacting time dummies with</w:t>
      </w:r>
      <w:r w:rsidR="00F46857" w:rsidRPr="00D55DA8">
        <w:rPr>
          <w:color w:val="000000" w:themeColor="text1"/>
          <w:lang w:val="en-US"/>
        </w:rPr>
        <w:t xml:space="preserve"> each independent </w:t>
      </w:r>
      <w:r w:rsidR="00416F2B" w:rsidRPr="00D55DA8">
        <w:rPr>
          <w:color w:val="000000" w:themeColor="text1"/>
          <w:lang w:val="en-US"/>
        </w:rPr>
        <w:t>variable</w:t>
      </w:r>
      <w:r w:rsidR="00F46857" w:rsidRPr="00D55DA8">
        <w:rPr>
          <w:color w:val="000000" w:themeColor="text1"/>
          <w:lang w:val="en-US"/>
        </w:rPr>
        <w:t xml:space="preserve"> in the appendix). The impact of net lending is</w:t>
      </w:r>
      <w:r w:rsidR="00821ECF" w:rsidRPr="00D55DA8">
        <w:rPr>
          <w:color w:val="000000" w:themeColor="text1"/>
          <w:lang w:val="en-US"/>
        </w:rPr>
        <w:t xml:space="preserve"> </w:t>
      </w:r>
      <w:r w:rsidR="00F46857" w:rsidRPr="00D55DA8">
        <w:rPr>
          <w:color w:val="000000" w:themeColor="text1"/>
          <w:lang w:val="en-US"/>
        </w:rPr>
        <w:t>n</w:t>
      </w:r>
      <w:r w:rsidR="00821ECF" w:rsidRPr="00D55DA8">
        <w:rPr>
          <w:color w:val="000000" w:themeColor="text1"/>
          <w:lang w:val="en-US"/>
        </w:rPr>
        <w:t>o</w:t>
      </w:r>
      <w:r w:rsidR="00F46857" w:rsidRPr="00D55DA8">
        <w:rPr>
          <w:color w:val="000000" w:themeColor="text1"/>
          <w:lang w:val="en-US"/>
        </w:rPr>
        <w:t>t significant in model 1, whereas the interaction</w:t>
      </w:r>
      <w:r w:rsidR="00821ECF" w:rsidRPr="00D55DA8">
        <w:rPr>
          <w:color w:val="000000" w:themeColor="text1"/>
          <w:lang w:val="en-US"/>
        </w:rPr>
        <w:t>s</w:t>
      </w:r>
      <w:r w:rsidR="00F46857" w:rsidRPr="00D55DA8">
        <w:rPr>
          <w:color w:val="000000" w:themeColor="text1"/>
          <w:lang w:val="en-US"/>
        </w:rPr>
        <w:t xml:space="preserve"> between net lending and the time dummies are </w:t>
      </w:r>
      <w:r w:rsidR="00821ECF" w:rsidRPr="00D55DA8">
        <w:rPr>
          <w:color w:val="000000" w:themeColor="text1"/>
          <w:lang w:val="en-US"/>
        </w:rPr>
        <w:t xml:space="preserve">statistically </w:t>
      </w:r>
      <w:r w:rsidR="00F46857" w:rsidRPr="00D55DA8">
        <w:rPr>
          <w:color w:val="000000" w:themeColor="text1"/>
          <w:lang w:val="en-US"/>
        </w:rPr>
        <w:t>significant in model</w:t>
      </w:r>
      <w:r w:rsidR="00821ECF" w:rsidRPr="00D55DA8">
        <w:rPr>
          <w:color w:val="000000" w:themeColor="text1"/>
          <w:lang w:val="en-US"/>
        </w:rPr>
        <w:t>s</w:t>
      </w:r>
      <w:r w:rsidR="00F46857" w:rsidRPr="00D55DA8">
        <w:rPr>
          <w:color w:val="000000" w:themeColor="text1"/>
          <w:lang w:val="en-US"/>
        </w:rPr>
        <w:t xml:space="preserve"> 2 and 3, revealing that there is a difference in the effect of net lending before and after 1993 and in the Chrétien-Martin era. The coefficient of net lending in model 2 </w:t>
      </w:r>
      <w:r w:rsidR="00416F2B" w:rsidRPr="00D55DA8">
        <w:rPr>
          <w:color w:val="000000" w:themeColor="text1"/>
          <w:lang w:val="en-US"/>
        </w:rPr>
        <w:t>(</w:t>
      </w:r>
      <w:r w:rsidR="00F46857" w:rsidRPr="00D55DA8">
        <w:rPr>
          <w:color w:val="000000" w:themeColor="text1"/>
          <w:lang w:val="en-US"/>
        </w:rPr>
        <w:t>and in model 4</w:t>
      </w:r>
      <w:r w:rsidR="00416F2B" w:rsidRPr="00D55DA8">
        <w:rPr>
          <w:color w:val="000000" w:themeColor="text1"/>
          <w:lang w:val="en-US"/>
        </w:rPr>
        <w:t>)</w:t>
      </w:r>
      <w:r w:rsidR="00F46857" w:rsidRPr="00D55DA8">
        <w:rPr>
          <w:color w:val="000000" w:themeColor="text1"/>
          <w:lang w:val="en-US"/>
        </w:rPr>
        <w:t xml:space="preserve"> reveal</w:t>
      </w:r>
      <w:r w:rsidR="00821ECF" w:rsidRPr="00D55DA8">
        <w:rPr>
          <w:color w:val="000000" w:themeColor="text1"/>
          <w:lang w:val="en-US"/>
        </w:rPr>
        <w:t>s</w:t>
      </w:r>
      <w:r w:rsidR="00F46857" w:rsidRPr="00D55DA8">
        <w:rPr>
          <w:color w:val="000000" w:themeColor="text1"/>
          <w:lang w:val="en-US"/>
        </w:rPr>
        <w:t xml:space="preserve"> that before 1993, </w:t>
      </w:r>
      <w:r w:rsidR="00F46857" w:rsidRPr="00D55DA8">
        <w:rPr>
          <w:lang w:val="en-US"/>
        </w:rPr>
        <w:t>a one standard deviation improvement to the budget balance (</w:t>
      </w:r>
      <w:proofErr w:type="spellStart"/>
      <w:r w:rsidR="00F46857" w:rsidRPr="00D55DA8">
        <w:rPr>
          <w:lang w:val="en-US"/>
        </w:rPr>
        <w:t>s</w:t>
      </w:r>
      <w:r w:rsidR="00A40F80" w:rsidRPr="00D55DA8">
        <w:rPr>
          <w:lang w:val="en-US"/>
        </w:rPr>
        <w:t>.</w:t>
      </w:r>
      <w:r w:rsidR="00F46857" w:rsidRPr="00D55DA8">
        <w:rPr>
          <w:lang w:val="en-US"/>
        </w:rPr>
        <w:t>d</w:t>
      </w:r>
      <w:r w:rsidR="00A40F80" w:rsidRPr="00D55DA8">
        <w:rPr>
          <w:lang w:val="en-US"/>
        </w:rPr>
        <w:t>.</w:t>
      </w:r>
      <w:proofErr w:type="spellEnd"/>
      <w:r w:rsidR="00F46857" w:rsidRPr="00D55DA8">
        <w:rPr>
          <w:lang w:val="en-US"/>
        </w:rPr>
        <w:t xml:space="preserve">=0.984) is associated with a decline in </w:t>
      </w:r>
      <w:r w:rsidR="0041600B" w:rsidRPr="00D55DA8">
        <w:rPr>
          <w:lang w:val="en-US"/>
        </w:rPr>
        <w:t xml:space="preserve">the </w:t>
      </w:r>
      <w:r w:rsidR="00A648E0" w:rsidRPr="00D55DA8">
        <w:rPr>
          <w:lang w:val="en-US"/>
        </w:rPr>
        <w:t>executive’s</w:t>
      </w:r>
      <w:r w:rsidR="00F46857" w:rsidRPr="00D55DA8">
        <w:rPr>
          <w:lang w:val="en-US"/>
        </w:rPr>
        <w:t xml:space="preserve"> popularity of 2.73 percentage points</w:t>
      </w:r>
      <w:r w:rsidR="00416F2B" w:rsidRPr="00D55DA8">
        <w:rPr>
          <w:lang w:val="en-US"/>
        </w:rPr>
        <w:t xml:space="preserve"> </w:t>
      </w:r>
      <w:r w:rsidR="00F46857" w:rsidRPr="00D55DA8">
        <w:rPr>
          <w:lang w:val="en-US"/>
        </w:rPr>
        <w:t xml:space="preserve">(significant at the p=0.05 level). In contrast, </w:t>
      </w:r>
      <w:r w:rsidR="00416F2B" w:rsidRPr="00D55DA8">
        <w:rPr>
          <w:lang w:val="en-US"/>
        </w:rPr>
        <w:t>model 2 also reveals that after 1993, net lending has a statistically significant (at the p=0.1 level) positive coefficient of</w:t>
      </w:r>
      <w:r w:rsidR="00F46857" w:rsidRPr="00D55DA8">
        <w:rPr>
          <w:lang w:val="en-US"/>
        </w:rPr>
        <w:t xml:space="preserve"> 1.90 (</w:t>
      </w:r>
      <w:proofErr w:type="spellStart"/>
      <w:r w:rsidR="00F46857" w:rsidRPr="00D55DA8">
        <w:rPr>
          <w:lang w:val="en-US"/>
        </w:rPr>
        <w:t>s</w:t>
      </w:r>
      <w:r w:rsidR="00A40F80" w:rsidRPr="00D55DA8">
        <w:rPr>
          <w:lang w:val="en-US"/>
        </w:rPr>
        <w:t>.</w:t>
      </w:r>
      <w:r w:rsidR="00F46857" w:rsidRPr="00D55DA8">
        <w:rPr>
          <w:lang w:val="en-US"/>
        </w:rPr>
        <w:t>e</w:t>
      </w:r>
      <w:r w:rsidR="00A40F80" w:rsidRPr="00D55DA8">
        <w:rPr>
          <w:lang w:val="en-US"/>
        </w:rPr>
        <w:t>.</w:t>
      </w:r>
      <w:proofErr w:type="spellEnd"/>
      <w:r w:rsidR="00F46857" w:rsidRPr="00D55DA8">
        <w:rPr>
          <w:lang w:val="en-US"/>
        </w:rPr>
        <w:t xml:space="preserve"> 1.125</w:t>
      </w:r>
      <w:r w:rsidR="00416F2B" w:rsidRPr="00D55DA8">
        <w:rPr>
          <w:lang w:val="en-US"/>
        </w:rPr>
        <w:t>).</w:t>
      </w:r>
      <w:r w:rsidR="00F46857" w:rsidRPr="00D55DA8">
        <w:rPr>
          <w:rStyle w:val="Appeldenotedefin"/>
          <w:lang w:val="en-US"/>
        </w:rPr>
        <w:endnoteReference w:id="8"/>
      </w:r>
      <w:r w:rsidR="00416F2B" w:rsidRPr="00D55DA8">
        <w:rPr>
          <w:lang w:val="en-US"/>
        </w:rPr>
        <w:t xml:space="preserve"> </w:t>
      </w:r>
      <w:r w:rsidR="00F46857" w:rsidRPr="00D55DA8">
        <w:rPr>
          <w:lang w:val="en-US"/>
        </w:rPr>
        <w:t xml:space="preserve"> </w:t>
      </w:r>
      <w:r w:rsidR="00416F2B" w:rsidRPr="00D55DA8">
        <w:rPr>
          <w:lang w:val="en-US"/>
        </w:rPr>
        <w:t>Model</w:t>
      </w:r>
      <w:r w:rsidR="00821ECF" w:rsidRPr="00D55DA8">
        <w:rPr>
          <w:lang w:val="en-US"/>
        </w:rPr>
        <w:t>s</w:t>
      </w:r>
      <w:r w:rsidR="00416F2B" w:rsidRPr="00D55DA8">
        <w:rPr>
          <w:lang w:val="en-US"/>
        </w:rPr>
        <w:t xml:space="preserve"> 3 and 6 show that the effect is particularly strong during the Chrétien-Martin era, since a one standard deviation (</w:t>
      </w:r>
      <w:proofErr w:type="spellStart"/>
      <w:r w:rsidR="00416F2B" w:rsidRPr="00D55DA8">
        <w:rPr>
          <w:lang w:val="en-US"/>
        </w:rPr>
        <w:t>s</w:t>
      </w:r>
      <w:r w:rsidR="00A40F80" w:rsidRPr="00D55DA8">
        <w:rPr>
          <w:lang w:val="en-US"/>
        </w:rPr>
        <w:t>.</w:t>
      </w:r>
      <w:r w:rsidR="00416F2B" w:rsidRPr="00D55DA8">
        <w:rPr>
          <w:lang w:val="en-US"/>
        </w:rPr>
        <w:t>d</w:t>
      </w:r>
      <w:r w:rsidR="00A40F80" w:rsidRPr="00D55DA8">
        <w:rPr>
          <w:lang w:val="en-US"/>
        </w:rPr>
        <w:t>.</w:t>
      </w:r>
      <w:proofErr w:type="spellEnd"/>
      <w:r w:rsidR="00416F2B" w:rsidRPr="00D55DA8">
        <w:rPr>
          <w:lang w:val="en-US"/>
        </w:rPr>
        <w:t xml:space="preserve">=0.81) improvement to the budget balance is associated with an increase of the </w:t>
      </w:r>
      <w:r w:rsidR="00A648E0" w:rsidRPr="00D55DA8">
        <w:rPr>
          <w:lang w:val="en-US"/>
        </w:rPr>
        <w:t>executive’s</w:t>
      </w:r>
      <w:r w:rsidR="00416F2B" w:rsidRPr="00D55DA8">
        <w:rPr>
          <w:lang w:val="en-US"/>
        </w:rPr>
        <w:t xml:space="preserve"> popularity of 3.81 percentage point</w:t>
      </w:r>
      <w:r w:rsidR="00821ECF" w:rsidRPr="00D55DA8">
        <w:rPr>
          <w:lang w:val="en-US"/>
        </w:rPr>
        <w:t>s</w:t>
      </w:r>
      <w:r w:rsidR="00416F2B" w:rsidRPr="00D55DA8">
        <w:rPr>
          <w:lang w:val="en-US"/>
        </w:rPr>
        <w:t xml:space="preserve"> (significant at the p=0.01 level). </w:t>
      </w:r>
      <w:r w:rsidR="00F46857" w:rsidRPr="00D55DA8">
        <w:rPr>
          <w:color w:val="000000" w:themeColor="text1"/>
          <w:lang w:val="en-US"/>
        </w:rPr>
        <w:t>In brief</w:t>
      </w:r>
      <w:r w:rsidR="00F46857" w:rsidRPr="00D55DA8">
        <w:rPr>
          <w:lang w:val="en-US"/>
        </w:rPr>
        <w:t>, until 1993, citizens are punishing governments for an improvement to their budget balance, whereas since the 1993 election</w:t>
      </w:r>
      <w:r w:rsidR="00416F2B" w:rsidRPr="00D55DA8">
        <w:rPr>
          <w:lang w:val="en-US"/>
        </w:rPr>
        <w:t xml:space="preserve"> and particularly during the Chrétien-Martin era, </w:t>
      </w:r>
      <w:r w:rsidR="00F46857" w:rsidRPr="00D55DA8">
        <w:rPr>
          <w:lang w:val="en-US"/>
        </w:rPr>
        <w:t>citizens are rewarding their leaders for an improvement to the budgetary balance.</w:t>
      </w:r>
    </w:p>
    <w:p w14:paraId="09929E27" w14:textId="25737560" w:rsidR="00E37321" w:rsidRPr="00D55DA8" w:rsidRDefault="00C65026" w:rsidP="006260CE">
      <w:pPr>
        <w:spacing w:line="480" w:lineRule="auto"/>
        <w:ind w:firstLine="708"/>
        <w:jc w:val="both"/>
        <w:rPr>
          <w:color w:val="000000" w:themeColor="text1"/>
          <w:lang w:val="en-US"/>
        </w:rPr>
      </w:pPr>
      <w:r w:rsidRPr="00D55DA8">
        <w:rPr>
          <w:lang w:val="en-US"/>
        </w:rPr>
        <w:t xml:space="preserve">We use several robustness checks, presented in the appendix, to confirm that the effect of net lending changes over time. Since our variables are first differences and are not using the same lag structure, it is possible that changes to the budget balance reflect changes to the economy. As a robustness check, we </w:t>
      </w:r>
      <w:r w:rsidRPr="00D55DA8">
        <w:rPr>
          <w:color w:val="000000" w:themeColor="text1"/>
          <w:lang w:val="en-US"/>
        </w:rPr>
        <w:t>present models with an identical lag structure between the economic and fiscal variables</w:t>
      </w:r>
      <w:r w:rsidRPr="00D55DA8">
        <w:rPr>
          <w:lang w:val="en-US"/>
        </w:rPr>
        <w:t xml:space="preserve">, and we add tax revenues and public expenditures in the model. </w:t>
      </w:r>
      <w:r w:rsidR="00821ECF" w:rsidRPr="00D55DA8">
        <w:rPr>
          <w:lang w:val="en-US"/>
        </w:rPr>
        <w:t xml:space="preserve">Neither of these changes to the </w:t>
      </w:r>
      <w:r w:rsidRPr="00D55DA8">
        <w:rPr>
          <w:lang w:val="en-US"/>
        </w:rPr>
        <w:t>model</w:t>
      </w:r>
      <w:r w:rsidR="00821ECF" w:rsidRPr="00D55DA8">
        <w:rPr>
          <w:lang w:val="en-US"/>
        </w:rPr>
        <w:t xml:space="preserve"> specification</w:t>
      </w:r>
      <w:r w:rsidRPr="00D55DA8">
        <w:rPr>
          <w:lang w:val="en-US"/>
        </w:rPr>
        <w:t xml:space="preserve"> alter</w:t>
      </w:r>
      <w:r w:rsidR="00821ECF" w:rsidRPr="00D55DA8">
        <w:rPr>
          <w:lang w:val="en-US"/>
        </w:rPr>
        <w:t xml:space="preserve"> our </w:t>
      </w:r>
      <w:r w:rsidRPr="00D55DA8">
        <w:rPr>
          <w:lang w:val="en-US"/>
        </w:rPr>
        <w:t xml:space="preserve">results. </w:t>
      </w:r>
      <w:r w:rsidR="00047401" w:rsidRPr="00D55DA8">
        <w:rPr>
          <w:lang w:val="en-US"/>
        </w:rPr>
        <w:t xml:space="preserve">Moreover, the economic variables we use are not significant predictors of net lending, as shown using vector autoregressive models. Hence, we are confident that the effect of changes to net lending does not simply reflect the impact of the economy on the budgetary balance. However, </w:t>
      </w:r>
      <w:r w:rsidR="00E37321" w:rsidRPr="00D55DA8">
        <w:rPr>
          <w:lang w:val="en-US"/>
        </w:rPr>
        <w:t xml:space="preserve">in the appendix, we run a </w:t>
      </w:r>
      <w:r w:rsidR="00E37321" w:rsidRPr="00D55DA8">
        <w:rPr>
          <w:color w:val="000000" w:themeColor="text1"/>
          <w:lang w:val="en-US"/>
        </w:rPr>
        <w:t xml:space="preserve">long run multiplier bounds test (Webb et al. 2020) which </w:t>
      </w:r>
      <w:r w:rsidR="0041600B" w:rsidRPr="00D55DA8">
        <w:rPr>
          <w:color w:val="000000" w:themeColor="text1"/>
          <w:lang w:val="en-US"/>
        </w:rPr>
        <w:t xml:space="preserve">indicates </w:t>
      </w:r>
      <w:r w:rsidR="00E37321" w:rsidRPr="00D55DA8">
        <w:rPr>
          <w:color w:val="000000" w:themeColor="text1"/>
          <w:lang w:val="en-US"/>
        </w:rPr>
        <w:lastRenderedPageBreak/>
        <w:t>that we have a short term, immediate relationship between net lending and approval, but no long-term relationship</w:t>
      </w:r>
      <w:r w:rsidR="0041600B" w:rsidRPr="00D55DA8">
        <w:rPr>
          <w:color w:val="000000" w:themeColor="text1"/>
          <w:lang w:val="en-US"/>
        </w:rPr>
        <w:t xml:space="preserve"> between the two</w:t>
      </w:r>
      <w:r w:rsidR="00E37321" w:rsidRPr="00D55DA8">
        <w:rPr>
          <w:color w:val="000000" w:themeColor="text1"/>
          <w:lang w:val="en-US"/>
        </w:rPr>
        <w:t xml:space="preserve">. </w:t>
      </w:r>
    </w:p>
    <w:p w14:paraId="27BFB8D4" w14:textId="6C12B3BA" w:rsidR="0035673C" w:rsidRPr="00D55DA8" w:rsidRDefault="006F2CA7" w:rsidP="0035673C">
      <w:pPr>
        <w:spacing w:line="360" w:lineRule="auto"/>
        <w:rPr>
          <w:b/>
          <w:bCs/>
          <w:lang w:val="en-US"/>
        </w:rPr>
      </w:pPr>
      <w:r w:rsidRPr="00D55DA8">
        <w:rPr>
          <w:b/>
          <w:bCs/>
          <w:lang w:val="en-US"/>
        </w:rPr>
        <w:t xml:space="preserve">Table 1. Effect of fiscal and economic variables (first differenced) on net </w:t>
      </w:r>
      <w:r w:rsidR="006260CE" w:rsidRPr="00D55DA8">
        <w:rPr>
          <w:b/>
          <w:bCs/>
          <w:lang w:val="en-US"/>
        </w:rPr>
        <w:t>executive</w:t>
      </w:r>
      <w:r w:rsidRPr="00D55DA8">
        <w:rPr>
          <w:b/>
          <w:bCs/>
          <w:lang w:val="en-US"/>
        </w:rPr>
        <w:t xml:space="preserve"> approval in Canada</w:t>
      </w:r>
    </w:p>
    <w:tbl>
      <w:tblPr>
        <w:tblW w:w="10773" w:type="dxa"/>
        <w:tblCellMar>
          <w:left w:w="70" w:type="dxa"/>
          <w:right w:w="70" w:type="dxa"/>
        </w:tblCellMar>
        <w:tblLook w:val="04A0" w:firstRow="1" w:lastRow="0" w:firstColumn="1" w:lastColumn="0" w:noHBand="0" w:noVBand="1"/>
      </w:tblPr>
      <w:tblGrid>
        <w:gridCol w:w="2634"/>
        <w:gridCol w:w="1063"/>
        <w:gridCol w:w="1627"/>
        <w:gridCol w:w="2090"/>
        <w:gridCol w:w="1063"/>
        <w:gridCol w:w="1063"/>
        <w:gridCol w:w="1233"/>
      </w:tblGrid>
      <w:tr w:rsidR="004B4B47" w:rsidRPr="00D55DA8" w14:paraId="5F6BC44C" w14:textId="77777777" w:rsidTr="004B4B47">
        <w:trPr>
          <w:trHeight w:val="280"/>
        </w:trPr>
        <w:tc>
          <w:tcPr>
            <w:tcW w:w="2634" w:type="dxa"/>
            <w:tcBorders>
              <w:top w:val="nil"/>
              <w:left w:val="nil"/>
              <w:bottom w:val="nil"/>
              <w:right w:val="nil"/>
            </w:tcBorders>
            <w:shd w:val="clear" w:color="auto" w:fill="auto"/>
            <w:noWrap/>
            <w:vAlign w:val="bottom"/>
            <w:hideMark/>
          </w:tcPr>
          <w:p w14:paraId="7D1E4EB7"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0EBEB14E"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44A4A353" w14:textId="77777777" w:rsidR="004B4B47" w:rsidRPr="00D55DA8" w:rsidRDefault="004B4B47" w:rsidP="004B4B47">
            <w:pPr>
              <w:rPr>
                <w:sz w:val="20"/>
                <w:szCs w:val="20"/>
                <w:lang w:val="en-CA"/>
              </w:rPr>
            </w:pPr>
          </w:p>
        </w:tc>
        <w:tc>
          <w:tcPr>
            <w:tcW w:w="2090" w:type="dxa"/>
            <w:tcBorders>
              <w:top w:val="nil"/>
              <w:left w:val="nil"/>
              <w:bottom w:val="nil"/>
              <w:right w:val="nil"/>
            </w:tcBorders>
            <w:shd w:val="clear" w:color="auto" w:fill="auto"/>
            <w:noWrap/>
            <w:vAlign w:val="bottom"/>
            <w:hideMark/>
          </w:tcPr>
          <w:p w14:paraId="7B1A8482"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435A7BDE"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014ECB3E" w14:textId="77777777" w:rsidR="004B4B47" w:rsidRPr="00D55DA8" w:rsidRDefault="004B4B47" w:rsidP="004B4B47">
            <w:pPr>
              <w:rPr>
                <w:sz w:val="20"/>
                <w:szCs w:val="20"/>
                <w:lang w:val="en-CA"/>
              </w:rPr>
            </w:pPr>
          </w:p>
        </w:tc>
        <w:tc>
          <w:tcPr>
            <w:tcW w:w="1233" w:type="dxa"/>
            <w:tcBorders>
              <w:top w:val="nil"/>
              <w:left w:val="nil"/>
              <w:bottom w:val="nil"/>
              <w:right w:val="nil"/>
            </w:tcBorders>
            <w:shd w:val="clear" w:color="auto" w:fill="auto"/>
            <w:noWrap/>
            <w:vAlign w:val="bottom"/>
            <w:hideMark/>
          </w:tcPr>
          <w:p w14:paraId="46D7C9F6" w14:textId="77777777" w:rsidR="004B4B47" w:rsidRPr="00D55DA8" w:rsidRDefault="004B4B47" w:rsidP="004B4B47">
            <w:pPr>
              <w:rPr>
                <w:sz w:val="20"/>
                <w:szCs w:val="20"/>
                <w:lang w:val="en-CA"/>
              </w:rPr>
            </w:pPr>
          </w:p>
        </w:tc>
      </w:tr>
      <w:tr w:rsidR="004B4B47" w:rsidRPr="00D55DA8" w14:paraId="54952528" w14:textId="77777777" w:rsidTr="004B4B47">
        <w:trPr>
          <w:trHeight w:val="280"/>
        </w:trPr>
        <w:tc>
          <w:tcPr>
            <w:tcW w:w="2634" w:type="dxa"/>
            <w:tcBorders>
              <w:top w:val="single" w:sz="4" w:space="0" w:color="auto"/>
              <w:left w:val="nil"/>
              <w:bottom w:val="nil"/>
              <w:right w:val="nil"/>
            </w:tcBorders>
            <w:shd w:val="clear" w:color="auto" w:fill="auto"/>
            <w:noWrap/>
            <w:vAlign w:val="bottom"/>
            <w:hideMark/>
          </w:tcPr>
          <w:p w14:paraId="44568C6C" w14:textId="77777777" w:rsidR="004B4B47" w:rsidRPr="00D55DA8" w:rsidRDefault="004B4B47" w:rsidP="004B4B47">
            <w:pPr>
              <w:rPr>
                <w:sz w:val="20"/>
                <w:szCs w:val="20"/>
                <w:lang w:val="en-CA"/>
              </w:rPr>
            </w:pPr>
            <w:r w:rsidRPr="00D55DA8">
              <w:rPr>
                <w:sz w:val="20"/>
                <w:szCs w:val="20"/>
                <w:lang w:val="en-CA"/>
              </w:rPr>
              <w:t> </w:t>
            </w:r>
          </w:p>
        </w:tc>
        <w:tc>
          <w:tcPr>
            <w:tcW w:w="1063" w:type="dxa"/>
            <w:tcBorders>
              <w:top w:val="single" w:sz="4" w:space="0" w:color="auto"/>
              <w:left w:val="nil"/>
              <w:bottom w:val="nil"/>
              <w:right w:val="nil"/>
            </w:tcBorders>
            <w:shd w:val="clear" w:color="auto" w:fill="auto"/>
            <w:noWrap/>
            <w:vAlign w:val="bottom"/>
            <w:hideMark/>
          </w:tcPr>
          <w:p w14:paraId="4755EBE4" w14:textId="77777777" w:rsidR="004B4B47" w:rsidRPr="00D55DA8" w:rsidRDefault="004B4B47" w:rsidP="004B4B47">
            <w:pPr>
              <w:jc w:val="center"/>
              <w:rPr>
                <w:sz w:val="20"/>
                <w:szCs w:val="20"/>
                <w:lang w:val="en-CA"/>
              </w:rPr>
            </w:pPr>
            <w:r w:rsidRPr="00D55DA8">
              <w:rPr>
                <w:sz w:val="20"/>
                <w:szCs w:val="20"/>
                <w:lang w:val="en-CA"/>
              </w:rPr>
              <w:t>(1)</w:t>
            </w:r>
          </w:p>
        </w:tc>
        <w:tc>
          <w:tcPr>
            <w:tcW w:w="1627" w:type="dxa"/>
            <w:tcBorders>
              <w:top w:val="single" w:sz="4" w:space="0" w:color="auto"/>
              <w:left w:val="nil"/>
              <w:bottom w:val="nil"/>
              <w:right w:val="nil"/>
            </w:tcBorders>
            <w:shd w:val="clear" w:color="auto" w:fill="auto"/>
            <w:noWrap/>
            <w:vAlign w:val="bottom"/>
            <w:hideMark/>
          </w:tcPr>
          <w:p w14:paraId="46476FCE" w14:textId="77777777" w:rsidR="004B4B47" w:rsidRPr="00D55DA8" w:rsidRDefault="004B4B47" w:rsidP="004B4B47">
            <w:pPr>
              <w:jc w:val="center"/>
              <w:rPr>
                <w:sz w:val="20"/>
                <w:szCs w:val="20"/>
                <w:lang w:val="en-CA"/>
              </w:rPr>
            </w:pPr>
            <w:r w:rsidRPr="00D55DA8">
              <w:rPr>
                <w:sz w:val="20"/>
                <w:szCs w:val="20"/>
                <w:lang w:val="en-CA"/>
              </w:rPr>
              <w:t>(2)</w:t>
            </w:r>
          </w:p>
        </w:tc>
        <w:tc>
          <w:tcPr>
            <w:tcW w:w="2090" w:type="dxa"/>
            <w:tcBorders>
              <w:top w:val="single" w:sz="4" w:space="0" w:color="auto"/>
              <w:left w:val="nil"/>
              <w:bottom w:val="nil"/>
              <w:right w:val="nil"/>
            </w:tcBorders>
            <w:shd w:val="clear" w:color="auto" w:fill="auto"/>
            <w:noWrap/>
            <w:vAlign w:val="bottom"/>
            <w:hideMark/>
          </w:tcPr>
          <w:p w14:paraId="3D9913D8" w14:textId="77777777" w:rsidR="004B4B47" w:rsidRPr="00D55DA8" w:rsidRDefault="004B4B47" w:rsidP="004B4B47">
            <w:pPr>
              <w:jc w:val="center"/>
              <w:rPr>
                <w:sz w:val="20"/>
                <w:szCs w:val="20"/>
                <w:lang w:val="en-CA"/>
              </w:rPr>
            </w:pPr>
            <w:r w:rsidRPr="00D55DA8">
              <w:rPr>
                <w:sz w:val="20"/>
                <w:szCs w:val="20"/>
                <w:lang w:val="en-CA"/>
              </w:rPr>
              <w:t>(3)</w:t>
            </w:r>
          </w:p>
        </w:tc>
        <w:tc>
          <w:tcPr>
            <w:tcW w:w="1063" w:type="dxa"/>
            <w:tcBorders>
              <w:top w:val="single" w:sz="4" w:space="0" w:color="auto"/>
              <w:left w:val="nil"/>
              <w:bottom w:val="nil"/>
              <w:right w:val="nil"/>
            </w:tcBorders>
            <w:shd w:val="clear" w:color="auto" w:fill="auto"/>
            <w:noWrap/>
            <w:vAlign w:val="bottom"/>
            <w:hideMark/>
          </w:tcPr>
          <w:p w14:paraId="349B0F6D" w14:textId="77777777" w:rsidR="004B4B47" w:rsidRPr="00D55DA8" w:rsidRDefault="004B4B47" w:rsidP="004B4B47">
            <w:pPr>
              <w:jc w:val="center"/>
              <w:rPr>
                <w:sz w:val="20"/>
                <w:szCs w:val="20"/>
                <w:lang w:val="en-CA"/>
              </w:rPr>
            </w:pPr>
            <w:r w:rsidRPr="00D55DA8">
              <w:rPr>
                <w:sz w:val="20"/>
                <w:szCs w:val="20"/>
                <w:lang w:val="en-CA"/>
              </w:rPr>
              <w:t>(4)</w:t>
            </w:r>
          </w:p>
        </w:tc>
        <w:tc>
          <w:tcPr>
            <w:tcW w:w="1063" w:type="dxa"/>
            <w:tcBorders>
              <w:top w:val="single" w:sz="4" w:space="0" w:color="auto"/>
              <w:left w:val="nil"/>
              <w:bottom w:val="nil"/>
              <w:right w:val="nil"/>
            </w:tcBorders>
            <w:shd w:val="clear" w:color="auto" w:fill="auto"/>
            <w:noWrap/>
            <w:vAlign w:val="bottom"/>
            <w:hideMark/>
          </w:tcPr>
          <w:p w14:paraId="3BAB86CA" w14:textId="77777777" w:rsidR="004B4B47" w:rsidRPr="00D55DA8" w:rsidRDefault="004B4B47" w:rsidP="004B4B47">
            <w:pPr>
              <w:jc w:val="center"/>
              <w:rPr>
                <w:sz w:val="20"/>
                <w:szCs w:val="20"/>
                <w:lang w:val="en-CA"/>
              </w:rPr>
            </w:pPr>
            <w:r w:rsidRPr="00D55DA8">
              <w:rPr>
                <w:sz w:val="20"/>
                <w:szCs w:val="20"/>
                <w:lang w:val="en-CA"/>
              </w:rPr>
              <w:t>(5)</w:t>
            </w:r>
          </w:p>
        </w:tc>
        <w:tc>
          <w:tcPr>
            <w:tcW w:w="1233" w:type="dxa"/>
            <w:tcBorders>
              <w:top w:val="single" w:sz="4" w:space="0" w:color="auto"/>
              <w:left w:val="nil"/>
              <w:bottom w:val="nil"/>
              <w:right w:val="nil"/>
            </w:tcBorders>
            <w:shd w:val="clear" w:color="auto" w:fill="auto"/>
            <w:noWrap/>
            <w:vAlign w:val="bottom"/>
            <w:hideMark/>
          </w:tcPr>
          <w:p w14:paraId="3E5EC415" w14:textId="77777777" w:rsidR="004B4B47" w:rsidRPr="00D55DA8" w:rsidRDefault="004B4B47" w:rsidP="004B4B47">
            <w:pPr>
              <w:jc w:val="center"/>
              <w:rPr>
                <w:sz w:val="20"/>
                <w:szCs w:val="20"/>
                <w:lang w:val="en-CA"/>
              </w:rPr>
            </w:pPr>
            <w:r w:rsidRPr="00D55DA8">
              <w:rPr>
                <w:sz w:val="20"/>
                <w:szCs w:val="20"/>
                <w:lang w:val="en-CA"/>
              </w:rPr>
              <w:t>(6)</w:t>
            </w:r>
          </w:p>
        </w:tc>
      </w:tr>
      <w:tr w:rsidR="004B4B47" w:rsidRPr="00D55DA8" w14:paraId="53827552" w14:textId="77777777" w:rsidTr="004B4B47">
        <w:trPr>
          <w:trHeight w:val="280"/>
        </w:trPr>
        <w:tc>
          <w:tcPr>
            <w:tcW w:w="2634" w:type="dxa"/>
            <w:tcBorders>
              <w:top w:val="nil"/>
              <w:left w:val="nil"/>
              <w:bottom w:val="nil"/>
              <w:right w:val="nil"/>
            </w:tcBorders>
            <w:shd w:val="clear" w:color="auto" w:fill="auto"/>
            <w:noWrap/>
            <w:vAlign w:val="bottom"/>
            <w:hideMark/>
          </w:tcPr>
          <w:p w14:paraId="78BF4CF7"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5DF88CF9" w14:textId="77777777" w:rsidR="004B4B47" w:rsidRPr="00D55DA8" w:rsidRDefault="004B4B47" w:rsidP="004B4B47">
            <w:pPr>
              <w:jc w:val="center"/>
              <w:rPr>
                <w:sz w:val="20"/>
                <w:szCs w:val="20"/>
                <w:lang w:val="en-CA"/>
              </w:rPr>
            </w:pPr>
            <w:r w:rsidRPr="00D55DA8">
              <w:rPr>
                <w:sz w:val="20"/>
                <w:szCs w:val="20"/>
                <w:lang w:val="en-CA"/>
              </w:rPr>
              <w:t>Full</w:t>
            </w:r>
          </w:p>
        </w:tc>
        <w:tc>
          <w:tcPr>
            <w:tcW w:w="1627" w:type="dxa"/>
            <w:tcBorders>
              <w:top w:val="nil"/>
              <w:left w:val="nil"/>
              <w:bottom w:val="nil"/>
              <w:right w:val="nil"/>
            </w:tcBorders>
            <w:shd w:val="clear" w:color="auto" w:fill="auto"/>
            <w:noWrap/>
            <w:vAlign w:val="bottom"/>
            <w:hideMark/>
          </w:tcPr>
          <w:p w14:paraId="15EF68DA" w14:textId="77777777" w:rsidR="004B4B47" w:rsidRPr="00D55DA8" w:rsidRDefault="004B4B47" w:rsidP="004B4B47">
            <w:pPr>
              <w:jc w:val="center"/>
              <w:rPr>
                <w:sz w:val="20"/>
                <w:szCs w:val="20"/>
                <w:lang w:val="en-CA"/>
              </w:rPr>
            </w:pPr>
            <w:r w:rsidRPr="00D55DA8">
              <w:rPr>
                <w:sz w:val="20"/>
                <w:szCs w:val="20"/>
                <w:lang w:val="en-CA"/>
              </w:rPr>
              <w:t xml:space="preserve">Interaction </w:t>
            </w:r>
          </w:p>
          <w:p w14:paraId="2345265E" w14:textId="5E2308F4" w:rsidR="004B4B47" w:rsidRPr="00D55DA8" w:rsidRDefault="004B4B47" w:rsidP="004B4B47">
            <w:pPr>
              <w:jc w:val="center"/>
              <w:rPr>
                <w:sz w:val="20"/>
                <w:szCs w:val="20"/>
                <w:lang w:val="en-CA"/>
              </w:rPr>
            </w:pPr>
            <w:r w:rsidRPr="00D55DA8">
              <w:rPr>
                <w:sz w:val="20"/>
                <w:szCs w:val="20"/>
                <w:lang w:val="en-CA"/>
              </w:rPr>
              <w:t>Post 1993</w:t>
            </w:r>
          </w:p>
        </w:tc>
        <w:tc>
          <w:tcPr>
            <w:tcW w:w="2090" w:type="dxa"/>
            <w:tcBorders>
              <w:top w:val="nil"/>
              <w:left w:val="nil"/>
              <w:bottom w:val="nil"/>
              <w:right w:val="nil"/>
            </w:tcBorders>
            <w:shd w:val="clear" w:color="auto" w:fill="auto"/>
            <w:noWrap/>
            <w:vAlign w:val="bottom"/>
            <w:hideMark/>
          </w:tcPr>
          <w:p w14:paraId="0B926339" w14:textId="77777777" w:rsidR="004B4B47" w:rsidRPr="00D55DA8" w:rsidRDefault="004B4B47" w:rsidP="004B4B47">
            <w:pPr>
              <w:jc w:val="center"/>
              <w:rPr>
                <w:sz w:val="20"/>
                <w:szCs w:val="20"/>
                <w:lang w:val="en-CA"/>
              </w:rPr>
            </w:pPr>
            <w:r w:rsidRPr="00D55DA8">
              <w:rPr>
                <w:sz w:val="20"/>
                <w:szCs w:val="20"/>
                <w:lang w:val="en-CA"/>
              </w:rPr>
              <w:t xml:space="preserve">Interaction </w:t>
            </w:r>
          </w:p>
          <w:p w14:paraId="2EDDABEE" w14:textId="56EE35CA" w:rsidR="004B4B47" w:rsidRPr="00D55DA8" w:rsidRDefault="004B4B47" w:rsidP="004B4B47">
            <w:pPr>
              <w:jc w:val="center"/>
              <w:rPr>
                <w:sz w:val="20"/>
                <w:szCs w:val="20"/>
                <w:lang w:val="en-CA"/>
              </w:rPr>
            </w:pPr>
            <w:r w:rsidRPr="00D55DA8">
              <w:rPr>
                <w:sz w:val="20"/>
                <w:szCs w:val="20"/>
                <w:lang w:val="en-CA"/>
              </w:rPr>
              <w:t>Chrétien-Martin</w:t>
            </w:r>
          </w:p>
        </w:tc>
        <w:tc>
          <w:tcPr>
            <w:tcW w:w="1063" w:type="dxa"/>
            <w:tcBorders>
              <w:top w:val="nil"/>
              <w:left w:val="nil"/>
              <w:bottom w:val="nil"/>
              <w:right w:val="nil"/>
            </w:tcBorders>
            <w:shd w:val="clear" w:color="auto" w:fill="auto"/>
            <w:noWrap/>
            <w:vAlign w:val="bottom"/>
            <w:hideMark/>
          </w:tcPr>
          <w:p w14:paraId="0919A3C1" w14:textId="77777777" w:rsidR="004B4B47" w:rsidRPr="00D55DA8" w:rsidRDefault="004B4B47" w:rsidP="004B4B47">
            <w:pPr>
              <w:jc w:val="center"/>
              <w:rPr>
                <w:sz w:val="20"/>
                <w:szCs w:val="20"/>
                <w:lang w:val="en-CA"/>
              </w:rPr>
            </w:pPr>
            <w:r w:rsidRPr="00D55DA8">
              <w:rPr>
                <w:sz w:val="20"/>
                <w:szCs w:val="20"/>
                <w:lang w:val="en-CA"/>
              </w:rPr>
              <w:t>Pre 1993</w:t>
            </w:r>
          </w:p>
        </w:tc>
        <w:tc>
          <w:tcPr>
            <w:tcW w:w="1063" w:type="dxa"/>
            <w:tcBorders>
              <w:top w:val="nil"/>
              <w:left w:val="nil"/>
              <w:bottom w:val="nil"/>
              <w:right w:val="nil"/>
            </w:tcBorders>
            <w:shd w:val="clear" w:color="auto" w:fill="auto"/>
            <w:noWrap/>
            <w:vAlign w:val="bottom"/>
            <w:hideMark/>
          </w:tcPr>
          <w:p w14:paraId="37ABD1DF" w14:textId="77777777" w:rsidR="004B4B47" w:rsidRPr="00D55DA8" w:rsidRDefault="004B4B47" w:rsidP="004B4B47">
            <w:pPr>
              <w:jc w:val="center"/>
              <w:rPr>
                <w:sz w:val="20"/>
                <w:szCs w:val="20"/>
                <w:lang w:val="en-CA"/>
              </w:rPr>
            </w:pPr>
            <w:r w:rsidRPr="00D55DA8">
              <w:rPr>
                <w:sz w:val="20"/>
                <w:szCs w:val="20"/>
                <w:lang w:val="en-CA"/>
              </w:rPr>
              <w:t>Post 1993</w:t>
            </w:r>
          </w:p>
        </w:tc>
        <w:tc>
          <w:tcPr>
            <w:tcW w:w="1233" w:type="dxa"/>
            <w:tcBorders>
              <w:top w:val="nil"/>
              <w:left w:val="nil"/>
              <w:bottom w:val="nil"/>
              <w:right w:val="nil"/>
            </w:tcBorders>
            <w:shd w:val="clear" w:color="auto" w:fill="auto"/>
            <w:noWrap/>
            <w:vAlign w:val="bottom"/>
            <w:hideMark/>
          </w:tcPr>
          <w:p w14:paraId="559F18AD" w14:textId="77777777" w:rsidR="004B4B47" w:rsidRPr="00D55DA8" w:rsidRDefault="004B4B47" w:rsidP="004B4B47">
            <w:pPr>
              <w:jc w:val="center"/>
              <w:rPr>
                <w:sz w:val="20"/>
                <w:szCs w:val="20"/>
                <w:lang w:val="en-CA"/>
              </w:rPr>
            </w:pPr>
            <w:r w:rsidRPr="00D55DA8">
              <w:rPr>
                <w:sz w:val="20"/>
                <w:szCs w:val="20"/>
                <w:lang w:val="en-CA"/>
              </w:rPr>
              <w:t>Chrétien-Martin</w:t>
            </w:r>
          </w:p>
        </w:tc>
      </w:tr>
      <w:tr w:rsidR="004B4B47" w:rsidRPr="00D55DA8" w14:paraId="0A731C89" w14:textId="77777777" w:rsidTr="004B4B47">
        <w:trPr>
          <w:trHeight w:val="280"/>
        </w:trPr>
        <w:tc>
          <w:tcPr>
            <w:tcW w:w="2634" w:type="dxa"/>
            <w:tcBorders>
              <w:top w:val="single" w:sz="4" w:space="0" w:color="auto"/>
              <w:left w:val="nil"/>
              <w:bottom w:val="nil"/>
              <w:right w:val="nil"/>
            </w:tcBorders>
            <w:shd w:val="clear" w:color="auto" w:fill="auto"/>
            <w:noWrap/>
            <w:vAlign w:val="bottom"/>
            <w:hideMark/>
          </w:tcPr>
          <w:p w14:paraId="4EDBA7C6" w14:textId="77777777" w:rsidR="004B4B47" w:rsidRPr="00D55DA8" w:rsidRDefault="004B4B47" w:rsidP="004B4B47">
            <w:pPr>
              <w:rPr>
                <w:sz w:val="20"/>
                <w:szCs w:val="20"/>
                <w:lang w:val="en-CA"/>
              </w:rPr>
            </w:pPr>
            <w:r w:rsidRPr="00D55DA8">
              <w:rPr>
                <w:sz w:val="20"/>
                <w:szCs w:val="20"/>
                <w:lang w:val="en-CA"/>
              </w:rPr>
              <w:t> </w:t>
            </w:r>
          </w:p>
        </w:tc>
        <w:tc>
          <w:tcPr>
            <w:tcW w:w="1063" w:type="dxa"/>
            <w:tcBorders>
              <w:top w:val="single" w:sz="4" w:space="0" w:color="auto"/>
              <w:left w:val="nil"/>
              <w:bottom w:val="nil"/>
              <w:right w:val="nil"/>
            </w:tcBorders>
            <w:shd w:val="clear" w:color="auto" w:fill="auto"/>
            <w:noWrap/>
            <w:vAlign w:val="bottom"/>
            <w:hideMark/>
          </w:tcPr>
          <w:p w14:paraId="5BC040BA" w14:textId="77777777" w:rsidR="004B4B47" w:rsidRPr="00D55DA8" w:rsidRDefault="004B4B47" w:rsidP="004B4B47">
            <w:pPr>
              <w:jc w:val="center"/>
              <w:rPr>
                <w:sz w:val="20"/>
                <w:szCs w:val="20"/>
                <w:lang w:val="en-CA"/>
              </w:rPr>
            </w:pPr>
            <w:r w:rsidRPr="00D55DA8">
              <w:rPr>
                <w:sz w:val="20"/>
                <w:szCs w:val="20"/>
                <w:lang w:val="en-CA"/>
              </w:rPr>
              <w:t> </w:t>
            </w:r>
          </w:p>
        </w:tc>
        <w:tc>
          <w:tcPr>
            <w:tcW w:w="1627" w:type="dxa"/>
            <w:tcBorders>
              <w:top w:val="single" w:sz="4" w:space="0" w:color="auto"/>
              <w:left w:val="nil"/>
              <w:bottom w:val="nil"/>
              <w:right w:val="nil"/>
            </w:tcBorders>
            <w:shd w:val="clear" w:color="auto" w:fill="auto"/>
            <w:noWrap/>
            <w:vAlign w:val="bottom"/>
            <w:hideMark/>
          </w:tcPr>
          <w:p w14:paraId="79800BB0" w14:textId="77777777" w:rsidR="004B4B47" w:rsidRPr="00D55DA8" w:rsidRDefault="004B4B47" w:rsidP="004B4B47">
            <w:pPr>
              <w:jc w:val="center"/>
              <w:rPr>
                <w:sz w:val="20"/>
                <w:szCs w:val="20"/>
                <w:lang w:val="en-CA"/>
              </w:rPr>
            </w:pPr>
            <w:r w:rsidRPr="00D55DA8">
              <w:rPr>
                <w:sz w:val="20"/>
                <w:szCs w:val="20"/>
                <w:lang w:val="en-CA"/>
              </w:rPr>
              <w:t> </w:t>
            </w:r>
          </w:p>
        </w:tc>
        <w:tc>
          <w:tcPr>
            <w:tcW w:w="2090" w:type="dxa"/>
            <w:tcBorders>
              <w:top w:val="single" w:sz="4" w:space="0" w:color="auto"/>
              <w:left w:val="nil"/>
              <w:bottom w:val="nil"/>
              <w:right w:val="nil"/>
            </w:tcBorders>
            <w:shd w:val="clear" w:color="auto" w:fill="auto"/>
            <w:noWrap/>
            <w:vAlign w:val="bottom"/>
            <w:hideMark/>
          </w:tcPr>
          <w:p w14:paraId="404D6343" w14:textId="77777777" w:rsidR="004B4B47" w:rsidRPr="00D55DA8" w:rsidRDefault="004B4B47" w:rsidP="004B4B47">
            <w:pPr>
              <w:jc w:val="center"/>
              <w:rPr>
                <w:sz w:val="20"/>
                <w:szCs w:val="20"/>
                <w:lang w:val="en-CA"/>
              </w:rPr>
            </w:pPr>
            <w:r w:rsidRPr="00D55DA8">
              <w:rPr>
                <w:sz w:val="20"/>
                <w:szCs w:val="20"/>
                <w:lang w:val="en-CA"/>
              </w:rPr>
              <w:t> </w:t>
            </w:r>
          </w:p>
        </w:tc>
        <w:tc>
          <w:tcPr>
            <w:tcW w:w="1063" w:type="dxa"/>
            <w:tcBorders>
              <w:top w:val="single" w:sz="4" w:space="0" w:color="auto"/>
              <w:left w:val="nil"/>
              <w:bottom w:val="nil"/>
              <w:right w:val="nil"/>
            </w:tcBorders>
            <w:shd w:val="clear" w:color="auto" w:fill="auto"/>
            <w:noWrap/>
            <w:vAlign w:val="bottom"/>
            <w:hideMark/>
          </w:tcPr>
          <w:p w14:paraId="73E5D2C9" w14:textId="77777777" w:rsidR="004B4B47" w:rsidRPr="00D55DA8" w:rsidRDefault="004B4B47" w:rsidP="004B4B47">
            <w:pPr>
              <w:jc w:val="center"/>
              <w:rPr>
                <w:sz w:val="20"/>
                <w:szCs w:val="20"/>
                <w:lang w:val="en-CA"/>
              </w:rPr>
            </w:pPr>
            <w:r w:rsidRPr="00D55DA8">
              <w:rPr>
                <w:sz w:val="20"/>
                <w:szCs w:val="20"/>
                <w:lang w:val="en-CA"/>
              </w:rPr>
              <w:t> </w:t>
            </w:r>
          </w:p>
        </w:tc>
        <w:tc>
          <w:tcPr>
            <w:tcW w:w="1063" w:type="dxa"/>
            <w:tcBorders>
              <w:top w:val="single" w:sz="4" w:space="0" w:color="auto"/>
              <w:left w:val="nil"/>
              <w:bottom w:val="nil"/>
              <w:right w:val="nil"/>
            </w:tcBorders>
            <w:shd w:val="clear" w:color="auto" w:fill="auto"/>
            <w:noWrap/>
            <w:vAlign w:val="bottom"/>
            <w:hideMark/>
          </w:tcPr>
          <w:p w14:paraId="52D453DE" w14:textId="77777777" w:rsidR="004B4B47" w:rsidRPr="00D55DA8" w:rsidRDefault="004B4B47" w:rsidP="004B4B47">
            <w:pPr>
              <w:jc w:val="center"/>
              <w:rPr>
                <w:sz w:val="20"/>
                <w:szCs w:val="20"/>
                <w:lang w:val="en-CA"/>
              </w:rPr>
            </w:pPr>
            <w:r w:rsidRPr="00D55DA8">
              <w:rPr>
                <w:sz w:val="20"/>
                <w:szCs w:val="20"/>
                <w:lang w:val="en-CA"/>
              </w:rPr>
              <w:t> </w:t>
            </w:r>
          </w:p>
        </w:tc>
        <w:tc>
          <w:tcPr>
            <w:tcW w:w="1233" w:type="dxa"/>
            <w:tcBorders>
              <w:top w:val="single" w:sz="4" w:space="0" w:color="auto"/>
              <w:left w:val="nil"/>
              <w:bottom w:val="nil"/>
              <w:right w:val="nil"/>
            </w:tcBorders>
            <w:shd w:val="clear" w:color="auto" w:fill="auto"/>
            <w:noWrap/>
            <w:vAlign w:val="bottom"/>
            <w:hideMark/>
          </w:tcPr>
          <w:p w14:paraId="36A24663" w14:textId="77777777" w:rsidR="004B4B47" w:rsidRPr="00D55DA8" w:rsidRDefault="004B4B47" w:rsidP="004B4B47">
            <w:pPr>
              <w:jc w:val="center"/>
              <w:rPr>
                <w:sz w:val="20"/>
                <w:szCs w:val="20"/>
                <w:lang w:val="en-CA"/>
              </w:rPr>
            </w:pPr>
            <w:r w:rsidRPr="00D55DA8">
              <w:rPr>
                <w:sz w:val="20"/>
                <w:szCs w:val="20"/>
                <w:lang w:val="en-CA"/>
              </w:rPr>
              <w:t> </w:t>
            </w:r>
          </w:p>
        </w:tc>
      </w:tr>
      <w:tr w:rsidR="004B4B47" w:rsidRPr="00D55DA8" w14:paraId="4A3CA1E1" w14:textId="77777777" w:rsidTr="004B4B47">
        <w:trPr>
          <w:trHeight w:val="280"/>
        </w:trPr>
        <w:tc>
          <w:tcPr>
            <w:tcW w:w="2634" w:type="dxa"/>
            <w:tcBorders>
              <w:top w:val="nil"/>
              <w:left w:val="nil"/>
              <w:bottom w:val="nil"/>
              <w:right w:val="nil"/>
            </w:tcBorders>
            <w:shd w:val="clear" w:color="auto" w:fill="auto"/>
            <w:noWrap/>
            <w:vAlign w:val="bottom"/>
            <w:hideMark/>
          </w:tcPr>
          <w:p w14:paraId="7D1A5BB4" w14:textId="77777777" w:rsidR="004B4B47" w:rsidRPr="00D55DA8" w:rsidRDefault="004B4B47" w:rsidP="004B4B47">
            <w:pPr>
              <w:rPr>
                <w:sz w:val="20"/>
                <w:szCs w:val="20"/>
                <w:lang w:val="en-CA"/>
              </w:rPr>
            </w:pPr>
            <w:r w:rsidRPr="00D55DA8">
              <w:rPr>
                <w:sz w:val="20"/>
                <w:szCs w:val="20"/>
                <w:lang w:val="en-CA"/>
              </w:rPr>
              <w:t xml:space="preserve">Lagged dependent variable </w:t>
            </w:r>
          </w:p>
        </w:tc>
        <w:tc>
          <w:tcPr>
            <w:tcW w:w="1063" w:type="dxa"/>
            <w:tcBorders>
              <w:top w:val="nil"/>
              <w:left w:val="nil"/>
              <w:bottom w:val="nil"/>
              <w:right w:val="nil"/>
            </w:tcBorders>
            <w:shd w:val="clear" w:color="auto" w:fill="auto"/>
            <w:noWrap/>
            <w:vAlign w:val="bottom"/>
            <w:hideMark/>
          </w:tcPr>
          <w:p w14:paraId="773D0179" w14:textId="77777777" w:rsidR="004B4B47" w:rsidRPr="00D55DA8" w:rsidRDefault="004B4B47" w:rsidP="004B4B47">
            <w:pPr>
              <w:jc w:val="center"/>
              <w:rPr>
                <w:sz w:val="20"/>
                <w:szCs w:val="20"/>
                <w:lang w:val="en-CA"/>
              </w:rPr>
            </w:pPr>
            <w:r w:rsidRPr="00D55DA8">
              <w:rPr>
                <w:sz w:val="20"/>
                <w:szCs w:val="20"/>
                <w:lang w:val="en-CA"/>
              </w:rPr>
              <w:t>0.856***</w:t>
            </w:r>
          </w:p>
        </w:tc>
        <w:tc>
          <w:tcPr>
            <w:tcW w:w="1627" w:type="dxa"/>
            <w:tcBorders>
              <w:top w:val="nil"/>
              <w:left w:val="nil"/>
              <w:bottom w:val="nil"/>
              <w:right w:val="nil"/>
            </w:tcBorders>
            <w:shd w:val="clear" w:color="auto" w:fill="auto"/>
            <w:noWrap/>
            <w:vAlign w:val="bottom"/>
            <w:hideMark/>
          </w:tcPr>
          <w:p w14:paraId="7A6E6D2C" w14:textId="77777777" w:rsidR="004B4B47" w:rsidRPr="00D55DA8" w:rsidRDefault="004B4B47" w:rsidP="004B4B47">
            <w:pPr>
              <w:jc w:val="center"/>
              <w:rPr>
                <w:sz w:val="20"/>
                <w:szCs w:val="20"/>
                <w:lang w:val="en-CA"/>
              </w:rPr>
            </w:pPr>
            <w:r w:rsidRPr="00D55DA8">
              <w:rPr>
                <w:sz w:val="20"/>
                <w:szCs w:val="20"/>
                <w:lang w:val="en-CA"/>
              </w:rPr>
              <w:t>0.814***</w:t>
            </w:r>
          </w:p>
        </w:tc>
        <w:tc>
          <w:tcPr>
            <w:tcW w:w="2090" w:type="dxa"/>
            <w:tcBorders>
              <w:top w:val="nil"/>
              <w:left w:val="nil"/>
              <w:bottom w:val="nil"/>
              <w:right w:val="nil"/>
            </w:tcBorders>
            <w:shd w:val="clear" w:color="auto" w:fill="auto"/>
            <w:noWrap/>
            <w:vAlign w:val="bottom"/>
            <w:hideMark/>
          </w:tcPr>
          <w:p w14:paraId="795F38AD" w14:textId="77777777" w:rsidR="004B4B47" w:rsidRPr="00D55DA8" w:rsidRDefault="004B4B47" w:rsidP="004B4B47">
            <w:pPr>
              <w:jc w:val="center"/>
              <w:rPr>
                <w:sz w:val="20"/>
                <w:szCs w:val="20"/>
                <w:lang w:val="en-CA"/>
              </w:rPr>
            </w:pPr>
            <w:r w:rsidRPr="00D55DA8">
              <w:rPr>
                <w:sz w:val="20"/>
                <w:szCs w:val="20"/>
                <w:lang w:val="en-CA"/>
              </w:rPr>
              <w:t>0.849***</w:t>
            </w:r>
          </w:p>
        </w:tc>
        <w:tc>
          <w:tcPr>
            <w:tcW w:w="1063" w:type="dxa"/>
            <w:tcBorders>
              <w:top w:val="nil"/>
              <w:left w:val="nil"/>
              <w:bottom w:val="nil"/>
              <w:right w:val="nil"/>
            </w:tcBorders>
            <w:shd w:val="clear" w:color="auto" w:fill="auto"/>
            <w:noWrap/>
            <w:vAlign w:val="bottom"/>
            <w:hideMark/>
          </w:tcPr>
          <w:p w14:paraId="550E4340" w14:textId="77777777" w:rsidR="004B4B47" w:rsidRPr="00D55DA8" w:rsidRDefault="004B4B47" w:rsidP="004B4B47">
            <w:pPr>
              <w:jc w:val="center"/>
              <w:rPr>
                <w:sz w:val="20"/>
                <w:szCs w:val="20"/>
                <w:lang w:val="en-CA"/>
              </w:rPr>
            </w:pPr>
            <w:r w:rsidRPr="00D55DA8">
              <w:rPr>
                <w:sz w:val="20"/>
                <w:szCs w:val="20"/>
                <w:lang w:val="en-CA"/>
              </w:rPr>
              <w:t>0.955***</w:t>
            </w:r>
          </w:p>
        </w:tc>
        <w:tc>
          <w:tcPr>
            <w:tcW w:w="1063" w:type="dxa"/>
            <w:tcBorders>
              <w:top w:val="nil"/>
              <w:left w:val="nil"/>
              <w:bottom w:val="nil"/>
              <w:right w:val="nil"/>
            </w:tcBorders>
            <w:shd w:val="clear" w:color="auto" w:fill="auto"/>
            <w:noWrap/>
            <w:vAlign w:val="bottom"/>
            <w:hideMark/>
          </w:tcPr>
          <w:p w14:paraId="1F36D893" w14:textId="77777777" w:rsidR="004B4B47" w:rsidRPr="00D55DA8" w:rsidRDefault="004B4B47" w:rsidP="004B4B47">
            <w:pPr>
              <w:jc w:val="center"/>
              <w:rPr>
                <w:sz w:val="20"/>
                <w:szCs w:val="20"/>
                <w:lang w:val="en-CA"/>
              </w:rPr>
            </w:pPr>
            <w:r w:rsidRPr="00D55DA8">
              <w:rPr>
                <w:sz w:val="20"/>
                <w:szCs w:val="20"/>
                <w:lang w:val="en-CA"/>
              </w:rPr>
              <w:t>0.724***</w:t>
            </w:r>
          </w:p>
        </w:tc>
        <w:tc>
          <w:tcPr>
            <w:tcW w:w="1233" w:type="dxa"/>
            <w:tcBorders>
              <w:top w:val="nil"/>
              <w:left w:val="nil"/>
              <w:bottom w:val="nil"/>
              <w:right w:val="nil"/>
            </w:tcBorders>
            <w:shd w:val="clear" w:color="auto" w:fill="auto"/>
            <w:noWrap/>
            <w:vAlign w:val="bottom"/>
            <w:hideMark/>
          </w:tcPr>
          <w:p w14:paraId="161F4F94" w14:textId="77777777" w:rsidR="004B4B47" w:rsidRPr="00D55DA8" w:rsidRDefault="004B4B47" w:rsidP="004B4B47">
            <w:pPr>
              <w:jc w:val="center"/>
              <w:rPr>
                <w:sz w:val="20"/>
                <w:szCs w:val="20"/>
                <w:lang w:val="en-CA"/>
              </w:rPr>
            </w:pPr>
            <w:r w:rsidRPr="00D55DA8">
              <w:rPr>
                <w:sz w:val="20"/>
                <w:szCs w:val="20"/>
                <w:lang w:val="en-CA"/>
              </w:rPr>
              <w:t>0.653***</w:t>
            </w:r>
          </w:p>
        </w:tc>
      </w:tr>
      <w:tr w:rsidR="004B4B47" w:rsidRPr="00D55DA8" w14:paraId="18D1AEA0" w14:textId="77777777" w:rsidTr="004B4B47">
        <w:trPr>
          <w:trHeight w:val="280"/>
        </w:trPr>
        <w:tc>
          <w:tcPr>
            <w:tcW w:w="2634" w:type="dxa"/>
            <w:tcBorders>
              <w:top w:val="nil"/>
              <w:left w:val="nil"/>
              <w:bottom w:val="nil"/>
              <w:right w:val="nil"/>
            </w:tcBorders>
            <w:shd w:val="clear" w:color="auto" w:fill="auto"/>
            <w:noWrap/>
            <w:vAlign w:val="bottom"/>
            <w:hideMark/>
          </w:tcPr>
          <w:p w14:paraId="131B08A9"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0F27FFA8" w14:textId="77777777" w:rsidR="004B4B47" w:rsidRPr="00D55DA8" w:rsidRDefault="004B4B47" w:rsidP="004B4B47">
            <w:pPr>
              <w:jc w:val="center"/>
              <w:rPr>
                <w:sz w:val="20"/>
                <w:szCs w:val="20"/>
                <w:lang w:val="en-CA"/>
              </w:rPr>
            </w:pPr>
            <w:r w:rsidRPr="00D55DA8">
              <w:rPr>
                <w:sz w:val="20"/>
                <w:szCs w:val="20"/>
                <w:lang w:val="en-CA"/>
              </w:rPr>
              <w:t>(0.0503)</w:t>
            </w:r>
          </w:p>
        </w:tc>
        <w:tc>
          <w:tcPr>
            <w:tcW w:w="1627" w:type="dxa"/>
            <w:tcBorders>
              <w:top w:val="nil"/>
              <w:left w:val="nil"/>
              <w:bottom w:val="nil"/>
              <w:right w:val="nil"/>
            </w:tcBorders>
            <w:shd w:val="clear" w:color="auto" w:fill="auto"/>
            <w:noWrap/>
            <w:vAlign w:val="bottom"/>
            <w:hideMark/>
          </w:tcPr>
          <w:p w14:paraId="0C8795B8" w14:textId="77777777" w:rsidR="004B4B47" w:rsidRPr="00D55DA8" w:rsidRDefault="004B4B47" w:rsidP="004B4B47">
            <w:pPr>
              <w:jc w:val="center"/>
              <w:rPr>
                <w:sz w:val="20"/>
                <w:szCs w:val="20"/>
                <w:lang w:val="en-CA"/>
              </w:rPr>
            </w:pPr>
            <w:r w:rsidRPr="00D55DA8">
              <w:rPr>
                <w:sz w:val="20"/>
                <w:szCs w:val="20"/>
                <w:lang w:val="en-CA"/>
              </w:rPr>
              <w:t>(0.0523)</w:t>
            </w:r>
          </w:p>
        </w:tc>
        <w:tc>
          <w:tcPr>
            <w:tcW w:w="2090" w:type="dxa"/>
            <w:tcBorders>
              <w:top w:val="nil"/>
              <w:left w:val="nil"/>
              <w:bottom w:val="nil"/>
              <w:right w:val="nil"/>
            </w:tcBorders>
            <w:shd w:val="clear" w:color="auto" w:fill="auto"/>
            <w:noWrap/>
            <w:vAlign w:val="bottom"/>
            <w:hideMark/>
          </w:tcPr>
          <w:p w14:paraId="48876479" w14:textId="77777777" w:rsidR="004B4B47" w:rsidRPr="00D55DA8" w:rsidRDefault="004B4B47" w:rsidP="004B4B47">
            <w:pPr>
              <w:jc w:val="center"/>
              <w:rPr>
                <w:sz w:val="20"/>
                <w:szCs w:val="20"/>
                <w:lang w:val="en-CA"/>
              </w:rPr>
            </w:pPr>
            <w:r w:rsidRPr="00D55DA8">
              <w:rPr>
                <w:sz w:val="20"/>
                <w:szCs w:val="20"/>
                <w:lang w:val="en-CA"/>
              </w:rPr>
              <w:t>(0.0490)</w:t>
            </w:r>
          </w:p>
        </w:tc>
        <w:tc>
          <w:tcPr>
            <w:tcW w:w="1063" w:type="dxa"/>
            <w:tcBorders>
              <w:top w:val="nil"/>
              <w:left w:val="nil"/>
              <w:bottom w:val="nil"/>
              <w:right w:val="nil"/>
            </w:tcBorders>
            <w:shd w:val="clear" w:color="auto" w:fill="auto"/>
            <w:noWrap/>
            <w:vAlign w:val="bottom"/>
            <w:hideMark/>
          </w:tcPr>
          <w:p w14:paraId="0D264B61" w14:textId="77777777" w:rsidR="004B4B47" w:rsidRPr="00D55DA8" w:rsidRDefault="004B4B47" w:rsidP="004B4B47">
            <w:pPr>
              <w:jc w:val="center"/>
              <w:rPr>
                <w:sz w:val="20"/>
                <w:szCs w:val="20"/>
                <w:lang w:val="en-CA"/>
              </w:rPr>
            </w:pPr>
            <w:r w:rsidRPr="00D55DA8">
              <w:rPr>
                <w:sz w:val="20"/>
                <w:szCs w:val="20"/>
                <w:lang w:val="en-CA"/>
              </w:rPr>
              <w:t>(0.0766)</w:t>
            </w:r>
          </w:p>
        </w:tc>
        <w:tc>
          <w:tcPr>
            <w:tcW w:w="1063" w:type="dxa"/>
            <w:tcBorders>
              <w:top w:val="nil"/>
              <w:left w:val="nil"/>
              <w:bottom w:val="nil"/>
              <w:right w:val="nil"/>
            </w:tcBorders>
            <w:shd w:val="clear" w:color="auto" w:fill="auto"/>
            <w:noWrap/>
            <w:vAlign w:val="bottom"/>
            <w:hideMark/>
          </w:tcPr>
          <w:p w14:paraId="11267E6A" w14:textId="77777777" w:rsidR="004B4B47" w:rsidRPr="00D55DA8" w:rsidRDefault="004B4B47" w:rsidP="004B4B47">
            <w:pPr>
              <w:jc w:val="center"/>
              <w:rPr>
                <w:sz w:val="20"/>
                <w:szCs w:val="20"/>
                <w:lang w:val="en-CA"/>
              </w:rPr>
            </w:pPr>
            <w:r w:rsidRPr="00D55DA8">
              <w:rPr>
                <w:sz w:val="20"/>
                <w:szCs w:val="20"/>
                <w:lang w:val="en-CA"/>
              </w:rPr>
              <w:t>(0.0700)</w:t>
            </w:r>
          </w:p>
        </w:tc>
        <w:tc>
          <w:tcPr>
            <w:tcW w:w="1233" w:type="dxa"/>
            <w:tcBorders>
              <w:top w:val="nil"/>
              <w:left w:val="nil"/>
              <w:bottom w:val="nil"/>
              <w:right w:val="nil"/>
            </w:tcBorders>
            <w:shd w:val="clear" w:color="auto" w:fill="auto"/>
            <w:noWrap/>
            <w:vAlign w:val="bottom"/>
            <w:hideMark/>
          </w:tcPr>
          <w:p w14:paraId="0CCC6880" w14:textId="77777777" w:rsidR="004B4B47" w:rsidRPr="00D55DA8" w:rsidRDefault="004B4B47" w:rsidP="004B4B47">
            <w:pPr>
              <w:jc w:val="center"/>
              <w:rPr>
                <w:sz w:val="20"/>
                <w:szCs w:val="20"/>
                <w:lang w:val="en-CA"/>
              </w:rPr>
            </w:pPr>
            <w:r w:rsidRPr="00D55DA8">
              <w:rPr>
                <w:sz w:val="20"/>
                <w:szCs w:val="20"/>
                <w:lang w:val="en-CA"/>
              </w:rPr>
              <w:t>(0.137)</w:t>
            </w:r>
          </w:p>
        </w:tc>
      </w:tr>
      <w:tr w:rsidR="004B4B47" w:rsidRPr="00D55DA8" w14:paraId="35BB421E" w14:textId="77777777" w:rsidTr="004B4B47">
        <w:trPr>
          <w:trHeight w:val="280"/>
        </w:trPr>
        <w:tc>
          <w:tcPr>
            <w:tcW w:w="2634" w:type="dxa"/>
            <w:tcBorders>
              <w:top w:val="nil"/>
              <w:left w:val="nil"/>
              <w:bottom w:val="nil"/>
              <w:right w:val="nil"/>
            </w:tcBorders>
            <w:shd w:val="clear" w:color="auto" w:fill="auto"/>
            <w:noWrap/>
            <w:vAlign w:val="bottom"/>
            <w:hideMark/>
          </w:tcPr>
          <w:p w14:paraId="3F24E579" w14:textId="77777777" w:rsidR="004B4B47" w:rsidRPr="00D55DA8" w:rsidRDefault="004B4B47" w:rsidP="004B4B47">
            <w:pPr>
              <w:rPr>
                <w:sz w:val="20"/>
                <w:szCs w:val="20"/>
                <w:lang w:val="en-CA"/>
              </w:rPr>
            </w:pPr>
            <w:r w:rsidRPr="00D55DA8">
              <w:rPr>
                <w:sz w:val="20"/>
                <w:szCs w:val="20"/>
                <w:lang w:val="en-CA"/>
              </w:rPr>
              <w:t>Net lending T-4</w:t>
            </w:r>
          </w:p>
        </w:tc>
        <w:tc>
          <w:tcPr>
            <w:tcW w:w="1063" w:type="dxa"/>
            <w:tcBorders>
              <w:top w:val="nil"/>
              <w:left w:val="nil"/>
              <w:bottom w:val="nil"/>
              <w:right w:val="nil"/>
            </w:tcBorders>
            <w:shd w:val="clear" w:color="auto" w:fill="auto"/>
            <w:noWrap/>
            <w:vAlign w:val="bottom"/>
            <w:hideMark/>
          </w:tcPr>
          <w:p w14:paraId="05843963" w14:textId="77777777" w:rsidR="004B4B47" w:rsidRPr="00D55DA8" w:rsidRDefault="004B4B47" w:rsidP="004B4B47">
            <w:pPr>
              <w:jc w:val="center"/>
              <w:rPr>
                <w:sz w:val="20"/>
                <w:szCs w:val="20"/>
                <w:lang w:val="en-CA"/>
              </w:rPr>
            </w:pPr>
            <w:r w:rsidRPr="00D55DA8">
              <w:rPr>
                <w:sz w:val="20"/>
                <w:szCs w:val="20"/>
                <w:lang w:val="en-CA"/>
              </w:rPr>
              <w:t>-0.0370</w:t>
            </w:r>
          </w:p>
        </w:tc>
        <w:tc>
          <w:tcPr>
            <w:tcW w:w="1627" w:type="dxa"/>
            <w:tcBorders>
              <w:top w:val="nil"/>
              <w:left w:val="nil"/>
              <w:bottom w:val="nil"/>
              <w:right w:val="nil"/>
            </w:tcBorders>
            <w:shd w:val="clear" w:color="auto" w:fill="auto"/>
            <w:noWrap/>
            <w:vAlign w:val="bottom"/>
            <w:hideMark/>
          </w:tcPr>
          <w:p w14:paraId="3C9A4A0E" w14:textId="77777777" w:rsidR="004B4B47" w:rsidRPr="00D55DA8" w:rsidRDefault="004B4B47" w:rsidP="004B4B47">
            <w:pPr>
              <w:jc w:val="center"/>
              <w:rPr>
                <w:sz w:val="20"/>
                <w:szCs w:val="20"/>
                <w:lang w:val="en-CA"/>
              </w:rPr>
            </w:pPr>
            <w:r w:rsidRPr="00D55DA8">
              <w:rPr>
                <w:sz w:val="20"/>
                <w:szCs w:val="20"/>
                <w:lang w:val="en-CA"/>
              </w:rPr>
              <w:t>-2.396*</w:t>
            </w:r>
          </w:p>
        </w:tc>
        <w:tc>
          <w:tcPr>
            <w:tcW w:w="2090" w:type="dxa"/>
            <w:tcBorders>
              <w:top w:val="nil"/>
              <w:left w:val="nil"/>
              <w:bottom w:val="nil"/>
              <w:right w:val="nil"/>
            </w:tcBorders>
            <w:shd w:val="clear" w:color="auto" w:fill="auto"/>
            <w:noWrap/>
            <w:vAlign w:val="bottom"/>
            <w:hideMark/>
          </w:tcPr>
          <w:p w14:paraId="0617D2AE" w14:textId="77777777" w:rsidR="004B4B47" w:rsidRPr="00D55DA8" w:rsidRDefault="004B4B47" w:rsidP="004B4B47">
            <w:pPr>
              <w:jc w:val="center"/>
              <w:rPr>
                <w:sz w:val="20"/>
                <w:szCs w:val="20"/>
                <w:lang w:val="en-CA"/>
              </w:rPr>
            </w:pPr>
            <w:r w:rsidRPr="00D55DA8">
              <w:rPr>
                <w:sz w:val="20"/>
                <w:szCs w:val="20"/>
                <w:lang w:val="en-CA"/>
              </w:rPr>
              <w:t>-1.879*</w:t>
            </w:r>
          </w:p>
        </w:tc>
        <w:tc>
          <w:tcPr>
            <w:tcW w:w="1063" w:type="dxa"/>
            <w:tcBorders>
              <w:top w:val="nil"/>
              <w:left w:val="nil"/>
              <w:bottom w:val="nil"/>
              <w:right w:val="nil"/>
            </w:tcBorders>
            <w:shd w:val="clear" w:color="auto" w:fill="auto"/>
            <w:noWrap/>
            <w:vAlign w:val="bottom"/>
            <w:hideMark/>
          </w:tcPr>
          <w:p w14:paraId="5AFA1DA6" w14:textId="77777777" w:rsidR="004B4B47" w:rsidRPr="00D55DA8" w:rsidRDefault="004B4B47" w:rsidP="004B4B47">
            <w:pPr>
              <w:jc w:val="center"/>
              <w:rPr>
                <w:sz w:val="20"/>
                <w:szCs w:val="20"/>
                <w:lang w:val="en-CA"/>
              </w:rPr>
            </w:pPr>
            <w:r w:rsidRPr="00D55DA8">
              <w:rPr>
                <w:sz w:val="20"/>
                <w:szCs w:val="20"/>
                <w:lang w:val="en-CA"/>
              </w:rPr>
              <w:t>-2.705**</w:t>
            </w:r>
          </w:p>
        </w:tc>
        <w:tc>
          <w:tcPr>
            <w:tcW w:w="1063" w:type="dxa"/>
            <w:tcBorders>
              <w:top w:val="nil"/>
              <w:left w:val="nil"/>
              <w:bottom w:val="nil"/>
              <w:right w:val="nil"/>
            </w:tcBorders>
            <w:shd w:val="clear" w:color="auto" w:fill="auto"/>
            <w:noWrap/>
            <w:vAlign w:val="bottom"/>
            <w:hideMark/>
          </w:tcPr>
          <w:p w14:paraId="48504B3C" w14:textId="77777777" w:rsidR="004B4B47" w:rsidRPr="00D55DA8" w:rsidRDefault="004B4B47" w:rsidP="004B4B47">
            <w:pPr>
              <w:jc w:val="center"/>
              <w:rPr>
                <w:sz w:val="20"/>
                <w:szCs w:val="20"/>
                <w:lang w:val="en-CA"/>
              </w:rPr>
            </w:pPr>
            <w:r w:rsidRPr="00D55DA8">
              <w:rPr>
                <w:sz w:val="20"/>
                <w:szCs w:val="20"/>
                <w:lang w:val="en-CA"/>
              </w:rPr>
              <w:t>1.911</w:t>
            </w:r>
          </w:p>
        </w:tc>
        <w:tc>
          <w:tcPr>
            <w:tcW w:w="1233" w:type="dxa"/>
            <w:tcBorders>
              <w:top w:val="nil"/>
              <w:left w:val="nil"/>
              <w:bottom w:val="nil"/>
              <w:right w:val="nil"/>
            </w:tcBorders>
            <w:shd w:val="clear" w:color="auto" w:fill="auto"/>
            <w:noWrap/>
            <w:vAlign w:val="bottom"/>
            <w:hideMark/>
          </w:tcPr>
          <w:p w14:paraId="4B632625" w14:textId="77777777" w:rsidR="004B4B47" w:rsidRPr="00D55DA8" w:rsidRDefault="004B4B47" w:rsidP="004B4B47">
            <w:pPr>
              <w:jc w:val="center"/>
              <w:rPr>
                <w:sz w:val="20"/>
                <w:szCs w:val="20"/>
                <w:lang w:val="en-CA"/>
              </w:rPr>
            </w:pPr>
            <w:r w:rsidRPr="00D55DA8">
              <w:rPr>
                <w:sz w:val="20"/>
                <w:szCs w:val="20"/>
                <w:lang w:val="en-CA"/>
              </w:rPr>
              <w:t>4.994***</w:t>
            </w:r>
          </w:p>
        </w:tc>
      </w:tr>
      <w:tr w:rsidR="004B4B47" w:rsidRPr="00D55DA8" w14:paraId="5852C395" w14:textId="77777777" w:rsidTr="004B4B47">
        <w:trPr>
          <w:trHeight w:val="280"/>
        </w:trPr>
        <w:tc>
          <w:tcPr>
            <w:tcW w:w="2634" w:type="dxa"/>
            <w:tcBorders>
              <w:top w:val="nil"/>
              <w:left w:val="nil"/>
              <w:bottom w:val="nil"/>
              <w:right w:val="nil"/>
            </w:tcBorders>
            <w:shd w:val="clear" w:color="auto" w:fill="auto"/>
            <w:noWrap/>
            <w:vAlign w:val="bottom"/>
            <w:hideMark/>
          </w:tcPr>
          <w:p w14:paraId="6BE44938"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2FD9DEC2" w14:textId="77777777" w:rsidR="004B4B47" w:rsidRPr="00D55DA8" w:rsidRDefault="004B4B47" w:rsidP="004B4B47">
            <w:pPr>
              <w:jc w:val="center"/>
              <w:rPr>
                <w:sz w:val="20"/>
                <w:szCs w:val="20"/>
                <w:lang w:val="en-CA"/>
              </w:rPr>
            </w:pPr>
            <w:r w:rsidRPr="00D55DA8">
              <w:rPr>
                <w:sz w:val="20"/>
                <w:szCs w:val="20"/>
                <w:lang w:val="en-CA"/>
              </w:rPr>
              <w:t>(0.886)</w:t>
            </w:r>
          </w:p>
        </w:tc>
        <w:tc>
          <w:tcPr>
            <w:tcW w:w="1627" w:type="dxa"/>
            <w:tcBorders>
              <w:top w:val="nil"/>
              <w:left w:val="nil"/>
              <w:bottom w:val="nil"/>
              <w:right w:val="nil"/>
            </w:tcBorders>
            <w:shd w:val="clear" w:color="auto" w:fill="auto"/>
            <w:noWrap/>
            <w:vAlign w:val="bottom"/>
            <w:hideMark/>
          </w:tcPr>
          <w:p w14:paraId="5443843A" w14:textId="77777777" w:rsidR="004B4B47" w:rsidRPr="00D55DA8" w:rsidRDefault="004B4B47" w:rsidP="004B4B47">
            <w:pPr>
              <w:jc w:val="center"/>
              <w:rPr>
                <w:sz w:val="20"/>
                <w:szCs w:val="20"/>
                <w:lang w:val="en-CA"/>
              </w:rPr>
            </w:pPr>
            <w:r w:rsidRPr="00D55DA8">
              <w:rPr>
                <w:sz w:val="20"/>
                <w:szCs w:val="20"/>
                <w:lang w:val="en-CA"/>
              </w:rPr>
              <w:t>(1.220)</w:t>
            </w:r>
          </w:p>
        </w:tc>
        <w:tc>
          <w:tcPr>
            <w:tcW w:w="2090" w:type="dxa"/>
            <w:tcBorders>
              <w:top w:val="nil"/>
              <w:left w:val="nil"/>
              <w:bottom w:val="nil"/>
              <w:right w:val="nil"/>
            </w:tcBorders>
            <w:shd w:val="clear" w:color="auto" w:fill="auto"/>
            <w:noWrap/>
            <w:vAlign w:val="bottom"/>
            <w:hideMark/>
          </w:tcPr>
          <w:p w14:paraId="3D349769" w14:textId="77777777" w:rsidR="004B4B47" w:rsidRPr="00D55DA8" w:rsidRDefault="004B4B47" w:rsidP="004B4B47">
            <w:pPr>
              <w:jc w:val="center"/>
              <w:rPr>
                <w:sz w:val="20"/>
                <w:szCs w:val="20"/>
                <w:lang w:val="en-CA"/>
              </w:rPr>
            </w:pPr>
            <w:r w:rsidRPr="00D55DA8">
              <w:rPr>
                <w:sz w:val="20"/>
                <w:szCs w:val="20"/>
                <w:lang w:val="en-CA"/>
              </w:rPr>
              <w:t>(0.982)</w:t>
            </w:r>
          </w:p>
        </w:tc>
        <w:tc>
          <w:tcPr>
            <w:tcW w:w="1063" w:type="dxa"/>
            <w:tcBorders>
              <w:top w:val="nil"/>
              <w:left w:val="nil"/>
              <w:bottom w:val="nil"/>
              <w:right w:val="nil"/>
            </w:tcBorders>
            <w:shd w:val="clear" w:color="auto" w:fill="auto"/>
            <w:noWrap/>
            <w:vAlign w:val="bottom"/>
            <w:hideMark/>
          </w:tcPr>
          <w:p w14:paraId="25A17807" w14:textId="77777777" w:rsidR="004B4B47" w:rsidRPr="00D55DA8" w:rsidRDefault="004B4B47" w:rsidP="004B4B47">
            <w:pPr>
              <w:jc w:val="center"/>
              <w:rPr>
                <w:sz w:val="20"/>
                <w:szCs w:val="20"/>
                <w:lang w:val="en-CA"/>
              </w:rPr>
            </w:pPr>
            <w:r w:rsidRPr="00D55DA8">
              <w:rPr>
                <w:sz w:val="20"/>
                <w:szCs w:val="20"/>
                <w:lang w:val="en-CA"/>
              </w:rPr>
              <w:t>(1.132)</w:t>
            </w:r>
          </w:p>
        </w:tc>
        <w:tc>
          <w:tcPr>
            <w:tcW w:w="1063" w:type="dxa"/>
            <w:tcBorders>
              <w:top w:val="nil"/>
              <w:left w:val="nil"/>
              <w:bottom w:val="nil"/>
              <w:right w:val="nil"/>
            </w:tcBorders>
            <w:shd w:val="clear" w:color="auto" w:fill="auto"/>
            <w:noWrap/>
            <w:vAlign w:val="bottom"/>
            <w:hideMark/>
          </w:tcPr>
          <w:p w14:paraId="3E867910" w14:textId="77777777" w:rsidR="004B4B47" w:rsidRPr="00D55DA8" w:rsidRDefault="004B4B47" w:rsidP="004B4B47">
            <w:pPr>
              <w:jc w:val="center"/>
              <w:rPr>
                <w:sz w:val="20"/>
                <w:szCs w:val="20"/>
                <w:lang w:val="en-CA"/>
              </w:rPr>
            </w:pPr>
            <w:r w:rsidRPr="00D55DA8">
              <w:rPr>
                <w:sz w:val="20"/>
                <w:szCs w:val="20"/>
                <w:lang w:val="en-CA"/>
              </w:rPr>
              <w:t>(1.159)</w:t>
            </w:r>
          </w:p>
        </w:tc>
        <w:tc>
          <w:tcPr>
            <w:tcW w:w="1233" w:type="dxa"/>
            <w:tcBorders>
              <w:top w:val="nil"/>
              <w:left w:val="nil"/>
              <w:bottom w:val="nil"/>
              <w:right w:val="nil"/>
            </w:tcBorders>
            <w:shd w:val="clear" w:color="auto" w:fill="auto"/>
            <w:noWrap/>
            <w:vAlign w:val="bottom"/>
            <w:hideMark/>
          </w:tcPr>
          <w:p w14:paraId="47DF3075" w14:textId="77777777" w:rsidR="004B4B47" w:rsidRPr="00D55DA8" w:rsidRDefault="004B4B47" w:rsidP="004B4B47">
            <w:pPr>
              <w:jc w:val="center"/>
              <w:rPr>
                <w:sz w:val="20"/>
                <w:szCs w:val="20"/>
                <w:lang w:val="en-CA"/>
              </w:rPr>
            </w:pPr>
            <w:r w:rsidRPr="00D55DA8">
              <w:rPr>
                <w:sz w:val="20"/>
                <w:szCs w:val="20"/>
                <w:lang w:val="en-CA"/>
              </w:rPr>
              <w:t>(1.509)</w:t>
            </w:r>
          </w:p>
        </w:tc>
      </w:tr>
      <w:tr w:rsidR="004B4B47" w:rsidRPr="00D55DA8" w14:paraId="64B67798" w14:textId="77777777" w:rsidTr="004B4B47">
        <w:trPr>
          <w:trHeight w:val="280"/>
        </w:trPr>
        <w:tc>
          <w:tcPr>
            <w:tcW w:w="2634" w:type="dxa"/>
            <w:tcBorders>
              <w:top w:val="nil"/>
              <w:left w:val="nil"/>
              <w:bottom w:val="nil"/>
              <w:right w:val="nil"/>
            </w:tcBorders>
            <w:shd w:val="clear" w:color="auto" w:fill="auto"/>
            <w:noWrap/>
            <w:vAlign w:val="bottom"/>
            <w:hideMark/>
          </w:tcPr>
          <w:p w14:paraId="7A26051D" w14:textId="77777777" w:rsidR="004B4B47" w:rsidRPr="00D55DA8" w:rsidRDefault="004B4B47" w:rsidP="004B4B47">
            <w:pPr>
              <w:rPr>
                <w:sz w:val="20"/>
                <w:szCs w:val="20"/>
                <w:lang w:val="en-CA"/>
              </w:rPr>
            </w:pPr>
            <w:r w:rsidRPr="00D55DA8">
              <w:rPr>
                <w:sz w:val="20"/>
                <w:szCs w:val="20"/>
                <w:lang w:val="en-CA"/>
              </w:rPr>
              <w:t>Post 1993 dummy</w:t>
            </w:r>
          </w:p>
        </w:tc>
        <w:tc>
          <w:tcPr>
            <w:tcW w:w="1063" w:type="dxa"/>
            <w:tcBorders>
              <w:top w:val="nil"/>
              <w:left w:val="nil"/>
              <w:bottom w:val="nil"/>
              <w:right w:val="nil"/>
            </w:tcBorders>
            <w:shd w:val="clear" w:color="auto" w:fill="auto"/>
            <w:noWrap/>
            <w:vAlign w:val="bottom"/>
            <w:hideMark/>
          </w:tcPr>
          <w:p w14:paraId="1F9F2F82"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38EE5F60" w14:textId="77777777" w:rsidR="004B4B47" w:rsidRPr="00D55DA8" w:rsidRDefault="004B4B47" w:rsidP="004B4B47">
            <w:pPr>
              <w:jc w:val="center"/>
              <w:rPr>
                <w:sz w:val="20"/>
                <w:szCs w:val="20"/>
                <w:lang w:val="en-CA"/>
              </w:rPr>
            </w:pPr>
            <w:r w:rsidRPr="00D55DA8">
              <w:rPr>
                <w:sz w:val="20"/>
                <w:szCs w:val="20"/>
                <w:lang w:val="en-CA"/>
              </w:rPr>
              <w:t>5.177**</w:t>
            </w:r>
          </w:p>
        </w:tc>
        <w:tc>
          <w:tcPr>
            <w:tcW w:w="2090" w:type="dxa"/>
            <w:tcBorders>
              <w:top w:val="nil"/>
              <w:left w:val="nil"/>
              <w:bottom w:val="nil"/>
              <w:right w:val="nil"/>
            </w:tcBorders>
            <w:shd w:val="clear" w:color="auto" w:fill="auto"/>
            <w:noWrap/>
            <w:vAlign w:val="bottom"/>
            <w:hideMark/>
          </w:tcPr>
          <w:p w14:paraId="2BCDB4DA"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0D9FD3E8"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47913469"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289484C6" w14:textId="77777777" w:rsidR="004B4B47" w:rsidRPr="00D55DA8" w:rsidRDefault="004B4B47" w:rsidP="004B4B47">
            <w:pPr>
              <w:jc w:val="center"/>
              <w:rPr>
                <w:sz w:val="20"/>
                <w:szCs w:val="20"/>
                <w:lang w:val="en-CA"/>
              </w:rPr>
            </w:pPr>
          </w:p>
        </w:tc>
      </w:tr>
      <w:tr w:rsidR="004B4B47" w:rsidRPr="00D55DA8" w14:paraId="2982892F" w14:textId="77777777" w:rsidTr="004B4B47">
        <w:trPr>
          <w:trHeight w:val="280"/>
        </w:trPr>
        <w:tc>
          <w:tcPr>
            <w:tcW w:w="2634" w:type="dxa"/>
            <w:tcBorders>
              <w:top w:val="nil"/>
              <w:left w:val="nil"/>
              <w:bottom w:val="nil"/>
              <w:right w:val="nil"/>
            </w:tcBorders>
            <w:shd w:val="clear" w:color="auto" w:fill="auto"/>
            <w:noWrap/>
            <w:vAlign w:val="bottom"/>
            <w:hideMark/>
          </w:tcPr>
          <w:p w14:paraId="4716EFFD"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56019AB8"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16996E92" w14:textId="77777777" w:rsidR="004B4B47" w:rsidRPr="00D55DA8" w:rsidRDefault="004B4B47" w:rsidP="004B4B47">
            <w:pPr>
              <w:jc w:val="center"/>
              <w:rPr>
                <w:sz w:val="20"/>
                <w:szCs w:val="20"/>
                <w:lang w:val="en-CA"/>
              </w:rPr>
            </w:pPr>
            <w:r w:rsidRPr="00D55DA8">
              <w:rPr>
                <w:sz w:val="20"/>
                <w:szCs w:val="20"/>
                <w:lang w:val="en-CA"/>
              </w:rPr>
              <w:t>(2.501)</w:t>
            </w:r>
          </w:p>
        </w:tc>
        <w:tc>
          <w:tcPr>
            <w:tcW w:w="2090" w:type="dxa"/>
            <w:tcBorders>
              <w:top w:val="nil"/>
              <w:left w:val="nil"/>
              <w:bottom w:val="nil"/>
              <w:right w:val="nil"/>
            </w:tcBorders>
            <w:shd w:val="clear" w:color="auto" w:fill="auto"/>
            <w:noWrap/>
            <w:vAlign w:val="bottom"/>
            <w:hideMark/>
          </w:tcPr>
          <w:p w14:paraId="173395D5"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3107C819"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12943802"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5B355ECB" w14:textId="77777777" w:rsidR="004B4B47" w:rsidRPr="00D55DA8" w:rsidRDefault="004B4B47" w:rsidP="004B4B47">
            <w:pPr>
              <w:jc w:val="center"/>
              <w:rPr>
                <w:sz w:val="20"/>
                <w:szCs w:val="20"/>
                <w:lang w:val="en-CA"/>
              </w:rPr>
            </w:pPr>
          </w:p>
        </w:tc>
      </w:tr>
      <w:tr w:rsidR="004B4B47" w:rsidRPr="00D55DA8" w14:paraId="3C538FE7" w14:textId="77777777" w:rsidTr="004B4B47">
        <w:trPr>
          <w:trHeight w:val="280"/>
        </w:trPr>
        <w:tc>
          <w:tcPr>
            <w:tcW w:w="2634" w:type="dxa"/>
            <w:tcBorders>
              <w:top w:val="nil"/>
              <w:left w:val="nil"/>
              <w:bottom w:val="nil"/>
              <w:right w:val="nil"/>
            </w:tcBorders>
            <w:shd w:val="clear" w:color="auto" w:fill="auto"/>
            <w:noWrap/>
            <w:vAlign w:val="bottom"/>
            <w:hideMark/>
          </w:tcPr>
          <w:p w14:paraId="0FD59815" w14:textId="77777777" w:rsidR="004B4B47" w:rsidRPr="00D55DA8" w:rsidRDefault="004B4B47" w:rsidP="004B4B47">
            <w:pPr>
              <w:rPr>
                <w:sz w:val="20"/>
                <w:szCs w:val="20"/>
                <w:lang w:val="en-CA"/>
              </w:rPr>
            </w:pPr>
            <w:r w:rsidRPr="00D55DA8">
              <w:rPr>
                <w:sz w:val="20"/>
                <w:szCs w:val="20"/>
                <w:lang w:val="en-CA"/>
              </w:rPr>
              <w:t>Net lending T-4 *post 1993</w:t>
            </w:r>
          </w:p>
        </w:tc>
        <w:tc>
          <w:tcPr>
            <w:tcW w:w="1063" w:type="dxa"/>
            <w:tcBorders>
              <w:top w:val="nil"/>
              <w:left w:val="nil"/>
              <w:bottom w:val="nil"/>
              <w:right w:val="nil"/>
            </w:tcBorders>
            <w:shd w:val="clear" w:color="auto" w:fill="auto"/>
            <w:noWrap/>
            <w:vAlign w:val="bottom"/>
            <w:hideMark/>
          </w:tcPr>
          <w:p w14:paraId="10382676"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5528459F" w14:textId="77777777" w:rsidR="004B4B47" w:rsidRPr="00D55DA8" w:rsidRDefault="004B4B47" w:rsidP="004B4B47">
            <w:pPr>
              <w:jc w:val="center"/>
              <w:rPr>
                <w:sz w:val="20"/>
                <w:szCs w:val="20"/>
                <w:lang w:val="en-CA"/>
              </w:rPr>
            </w:pPr>
            <w:r w:rsidRPr="00D55DA8">
              <w:rPr>
                <w:sz w:val="20"/>
                <w:szCs w:val="20"/>
                <w:lang w:val="en-CA"/>
              </w:rPr>
              <w:t>4.303***</w:t>
            </w:r>
          </w:p>
        </w:tc>
        <w:tc>
          <w:tcPr>
            <w:tcW w:w="2090" w:type="dxa"/>
            <w:tcBorders>
              <w:top w:val="nil"/>
              <w:left w:val="nil"/>
              <w:bottom w:val="nil"/>
              <w:right w:val="nil"/>
            </w:tcBorders>
            <w:shd w:val="clear" w:color="auto" w:fill="auto"/>
            <w:noWrap/>
            <w:vAlign w:val="bottom"/>
            <w:hideMark/>
          </w:tcPr>
          <w:p w14:paraId="0503CCEA"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7DD8F2EA"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06EBE6E9"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23061B57" w14:textId="77777777" w:rsidR="004B4B47" w:rsidRPr="00D55DA8" w:rsidRDefault="004B4B47" w:rsidP="004B4B47">
            <w:pPr>
              <w:jc w:val="center"/>
              <w:rPr>
                <w:sz w:val="20"/>
                <w:szCs w:val="20"/>
                <w:lang w:val="en-CA"/>
              </w:rPr>
            </w:pPr>
          </w:p>
        </w:tc>
      </w:tr>
      <w:tr w:rsidR="004B4B47" w:rsidRPr="00D55DA8" w14:paraId="75965D64" w14:textId="77777777" w:rsidTr="004B4B47">
        <w:trPr>
          <w:trHeight w:val="280"/>
        </w:trPr>
        <w:tc>
          <w:tcPr>
            <w:tcW w:w="2634" w:type="dxa"/>
            <w:tcBorders>
              <w:top w:val="nil"/>
              <w:left w:val="nil"/>
              <w:bottom w:val="nil"/>
              <w:right w:val="nil"/>
            </w:tcBorders>
            <w:shd w:val="clear" w:color="auto" w:fill="auto"/>
            <w:noWrap/>
            <w:vAlign w:val="bottom"/>
            <w:hideMark/>
          </w:tcPr>
          <w:p w14:paraId="6CC46CB4"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468B22C9"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62C25A59" w14:textId="77777777" w:rsidR="004B4B47" w:rsidRPr="00D55DA8" w:rsidRDefault="004B4B47" w:rsidP="004B4B47">
            <w:pPr>
              <w:jc w:val="center"/>
              <w:rPr>
                <w:sz w:val="20"/>
                <w:szCs w:val="20"/>
                <w:lang w:val="en-CA"/>
              </w:rPr>
            </w:pPr>
            <w:r w:rsidRPr="00D55DA8">
              <w:rPr>
                <w:sz w:val="20"/>
                <w:szCs w:val="20"/>
                <w:lang w:val="en-CA"/>
              </w:rPr>
              <w:t>(1.597)</w:t>
            </w:r>
          </w:p>
        </w:tc>
        <w:tc>
          <w:tcPr>
            <w:tcW w:w="2090" w:type="dxa"/>
            <w:tcBorders>
              <w:top w:val="nil"/>
              <w:left w:val="nil"/>
              <w:bottom w:val="nil"/>
              <w:right w:val="nil"/>
            </w:tcBorders>
            <w:shd w:val="clear" w:color="auto" w:fill="auto"/>
            <w:noWrap/>
            <w:vAlign w:val="bottom"/>
            <w:hideMark/>
          </w:tcPr>
          <w:p w14:paraId="551106A9"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093964AE"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79D80E2C"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70A49934" w14:textId="77777777" w:rsidR="004B4B47" w:rsidRPr="00D55DA8" w:rsidRDefault="004B4B47" w:rsidP="004B4B47">
            <w:pPr>
              <w:jc w:val="center"/>
              <w:rPr>
                <w:sz w:val="20"/>
                <w:szCs w:val="20"/>
                <w:lang w:val="en-CA"/>
              </w:rPr>
            </w:pPr>
          </w:p>
        </w:tc>
      </w:tr>
      <w:tr w:rsidR="004B4B47" w:rsidRPr="00D55DA8" w14:paraId="6C206FBE" w14:textId="77777777" w:rsidTr="004B4B47">
        <w:trPr>
          <w:trHeight w:val="280"/>
        </w:trPr>
        <w:tc>
          <w:tcPr>
            <w:tcW w:w="2634" w:type="dxa"/>
            <w:tcBorders>
              <w:top w:val="nil"/>
              <w:left w:val="nil"/>
              <w:bottom w:val="nil"/>
              <w:right w:val="nil"/>
            </w:tcBorders>
            <w:shd w:val="clear" w:color="auto" w:fill="auto"/>
            <w:noWrap/>
            <w:vAlign w:val="bottom"/>
            <w:hideMark/>
          </w:tcPr>
          <w:p w14:paraId="2489CF20" w14:textId="77777777" w:rsidR="004B4B47" w:rsidRPr="00D55DA8" w:rsidRDefault="004B4B47" w:rsidP="004B4B47">
            <w:pPr>
              <w:rPr>
                <w:sz w:val="20"/>
                <w:szCs w:val="20"/>
                <w:lang w:val="en-CA"/>
              </w:rPr>
            </w:pPr>
            <w:r w:rsidRPr="00D55DA8">
              <w:rPr>
                <w:sz w:val="20"/>
                <w:szCs w:val="20"/>
                <w:lang w:val="en-CA"/>
              </w:rPr>
              <w:t xml:space="preserve">Chrétien-Martin </w:t>
            </w:r>
            <w:proofErr w:type="gramStart"/>
            <w:r w:rsidRPr="00D55DA8">
              <w:rPr>
                <w:sz w:val="20"/>
                <w:szCs w:val="20"/>
                <w:lang w:val="en-CA"/>
              </w:rPr>
              <w:t>dummy</w:t>
            </w:r>
            <w:proofErr w:type="gramEnd"/>
          </w:p>
        </w:tc>
        <w:tc>
          <w:tcPr>
            <w:tcW w:w="1063" w:type="dxa"/>
            <w:tcBorders>
              <w:top w:val="nil"/>
              <w:left w:val="nil"/>
              <w:bottom w:val="nil"/>
              <w:right w:val="nil"/>
            </w:tcBorders>
            <w:shd w:val="clear" w:color="auto" w:fill="auto"/>
            <w:noWrap/>
            <w:vAlign w:val="bottom"/>
            <w:hideMark/>
          </w:tcPr>
          <w:p w14:paraId="55DBB399"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6885DE87" w14:textId="77777777" w:rsidR="004B4B47" w:rsidRPr="00D55DA8" w:rsidRDefault="004B4B47" w:rsidP="004B4B47">
            <w:pPr>
              <w:jc w:val="center"/>
              <w:rPr>
                <w:sz w:val="20"/>
                <w:szCs w:val="20"/>
                <w:lang w:val="en-CA"/>
              </w:rPr>
            </w:pPr>
          </w:p>
        </w:tc>
        <w:tc>
          <w:tcPr>
            <w:tcW w:w="2090" w:type="dxa"/>
            <w:tcBorders>
              <w:top w:val="nil"/>
              <w:left w:val="nil"/>
              <w:bottom w:val="nil"/>
              <w:right w:val="nil"/>
            </w:tcBorders>
            <w:shd w:val="clear" w:color="auto" w:fill="auto"/>
            <w:noWrap/>
            <w:vAlign w:val="bottom"/>
            <w:hideMark/>
          </w:tcPr>
          <w:p w14:paraId="72B6DB19" w14:textId="77777777" w:rsidR="004B4B47" w:rsidRPr="00D55DA8" w:rsidRDefault="004B4B47" w:rsidP="004B4B47">
            <w:pPr>
              <w:jc w:val="center"/>
              <w:rPr>
                <w:sz w:val="20"/>
                <w:szCs w:val="20"/>
                <w:lang w:val="en-CA"/>
              </w:rPr>
            </w:pPr>
            <w:r w:rsidRPr="00D55DA8">
              <w:rPr>
                <w:sz w:val="20"/>
                <w:szCs w:val="20"/>
                <w:lang w:val="en-CA"/>
              </w:rPr>
              <w:t>1.452</w:t>
            </w:r>
          </w:p>
        </w:tc>
        <w:tc>
          <w:tcPr>
            <w:tcW w:w="1063" w:type="dxa"/>
            <w:tcBorders>
              <w:top w:val="nil"/>
              <w:left w:val="nil"/>
              <w:bottom w:val="nil"/>
              <w:right w:val="nil"/>
            </w:tcBorders>
            <w:shd w:val="clear" w:color="auto" w:fill="auto"/>
            <w:noWrap/>
            <w:vAlign w:val="bottom"/>
            <w:hideMark/>
          </w:tcPr>
          <w:p w14:paraId="6C004A29"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6229FF4D"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00342948" w14:textId="77777777" w:rsidR="004B4B47" w:rsidRPr="00D55DA8" w:rsidRDefault="004B4B47" w:rsidP="004B4B47">
            <w:pPr>
              <w:jc w:val="center"/>
              <w:rPr>
                <w:sz w:val="20"/>
                <w:szCs w:val="20"/>
                <w:lang w:val="en-CA"/>
              </w:rPr>
            </w:pPr>
          </w:p>
        </w:tc>
      </w:tr>
      <w:tr w:rsidR="004B4B47" w:rsidRPr="00D55DA8" w14:paraId="78A64484" w14:textId="77777777" w:rsidTr="004B4B47">
        <w:trPr>
          <w:trHeight w:val="280"/>
        </w:trPr>
        <w:tc>
          <w:tcPr>
            <w:tcW w:w="2634" w:type="dxa"/>
            <w:tcBorders>
              <w:top w:val="nil"/>
              <w:left w:val="nil"/>
              <w:bottom w:val="nil"/>
              <w:right w:val="nil"/>
            </w:tcBorders>
            <w:shd w:val="clear" w:color="auto" w:fill="auto"/>
            <w:noWrap/>
            <w:vAlign w:val="bottom"/>
            <w:hideMark/>
          </w:tcPr>
          <w:p w14:paraId="336BBBE5"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47140965"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66B95349" w14:textId="77777777" w:rsidR="004B4B47" w:rsidRPr="00D55DA8" w:rsidRDefault="004B4B47" w:rsidP="004B4B47">
            <w:pPr>
              <w:jc w:val="center"/>
              <w:rPr>
                <w:sz w:val="20"/>
                <w:szCs w:val="20"/>
                <w:lang w:val="en-CA"/>
              </w:rPr>
            </w:pPr>
          </w:p>
        </w:tc>
        <w:tc>
          <w:tcPr>
            <w:tcW w:w="2090" w:type="dxa"/>
            <w:tcBorders>
              <w:top w:val="nil"/>
              <w:left w:val="nil"/>
              <w:bottom w:val="nil"/>
              <w:right w:val="nil"/>
            </w:tcBorders>
            <w:shd w:val="clear" w:color="auto" w:fill="auto"/>
            <w:noWrap/>
            <w:vAlign w:val="bottom"/>
            <w:hideMark/>
          </w:tcPr>
          <w:p w14:paraId="6EBD116D" w14:textId="77777777" w:rsidR="004B4B47" w:rsidRPr="00D55DA8" w:rsidRDefault="004B4B47" w:rsidP="004B4B47">
            <w:pPr>
              <w:jc w:val="center"/>
              <w:rPr>
                <w:sz w:val="20"/>
                <w:szCs w:val="20"/>
                <w:lang w:val="en-CA"/>
              </w:rPr>
            </w:pPr>
            <w:r w:rsidRPr="00D55DA8">
              <w:rPr>
                <w:sz w:val="20"/>
                <w:szCs w:val="20"/>
                <w:lang w:val="en-CA"/>
              </w:rPr>
              <w:t>(1.673)</w:t>
            </w:r>
          </w:p>
        </w:tc>
        <w:tc>
          <w:tcPr>
            <w:tcW w:w="1063" w:type="dxa"/>
            <w:tcBorders>
              <w:top w:val="nil"/>
              <w:left w:val="nil"/>
              <w:bottom w:val="nil"/>
              <w:right w:val="nil"/>
            </w:tcBorders>
            <w:shd w:val="clear" w:color="auto" w:fill="auto"/>
            <w:noWrap/>
            <w:vAlign w:val="bottom"/>
            <w:hideMark/>
          </w:tcPr>
          <w:p w14:paraId="665270BE"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03BC0377"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5EDDA8EC" w14:textId="77777777" w:rsidR="004B4B47" w:rsidRPr="00D55DA8" w:rsidRDefault="004B4B47" w:rsidP="004B4B47">
            <w:pPr>
              <w:jc w:val="center"/>
              <w:rPr>
                <w:sz w:val="20"/>
                <w:szCs w:val="20"/>
                <w:lang w:val="en-CA"/>
              </w:rPr>
            </w:pPr>
          </w:p>
        </w:tc>
      </w:tr>
      <w:tr w:rsidR="004B4B47" w:rsidRPr="00D55DA8" w14:paraId="434B06AE" w14:textId="77777777" w:rsidTr="004B4B47">
        <w:trPr>
          <w:trHeight w:val="280"/>
        </w:trPr>
        <w:tc>
          <w:tcPr>
            <w:tcW w:w="2634" w:type="dxa"/>
            <w:tcBorders>
              <w:top w:val="nil"/>
              <w:left w:val="nil"/>
              <w:bottom w:val="nil"/>
              <w:right w:val="nil"/>
            </w:tcBorders>
            <w:shd w:val="clear" w:color="auto" w:fill="auto"/>
            <w:noWrap/>
            <w:vAlign w:val="bottom"/>
            <w:hideMark/>
          </w:tcPr>
          <w:p w14:paraId="1D9F738B" w14:textId="77777777" w:rsidR="004B4B47" w:rsidRPr="00D55DA8" w:rsidRDefault="004B4B47" w:rsidP="004B4B47">
            <w:pPr>
              <w:rPr>
                <w:sz w:val="20"/>
                <w:szCs w:val="20"/>
              </w:rPr>
            </w:pPr>
            <w:r w:rsidRPr="00D55DA8">
              <w:rPr>
                <w:sz w:val="20"/>
                <w:szCs w:val="20"/>
              </w:rPr>
              <w:t xml:space="preserve">Net </w:t>
            </w:r>
            <w:proofErr w:type="spellStart"/>
            <w:r w:rsidRPr="00D55DA8">
              <w:rPr>
                <w:sz w:val="20"/>
                <w:szCs w:val="20"/>
              </w:rPr>
              <w:t>lending</w:t>
            </w:r>
            <w:proofErr w:type="spellEnd"/>
            <w:r w:rsidRPr="00D55DA8">
              <w:rPr>
                <w:sz w:val="20"/>
                <w:szCs w:val="20"/>
              </w:rPr>
              <w:t xml:space="preserve"> T-4 *Chrétien-Martin</w:t>
            </w:r>
          </w:p>
        </w:tc>
        <w:tc>
          <w:tcPr>
            <w:tcW w:w="1063" w:type="dxa"/>
            <w:tcBorders>
              <w:top w:val="nil"/>
              <w:left w:val="nil"/>
              <w:bottom w:val="nil"/>
              <w:right w:val="nil"/>
            </w:tcBorders>
            <w:shd w:val="clear" w:color="auto" w:fill="auto"/>
            <w:noWrap/>
            <w:vAlign w:val="bottom"/>
            <w:hideMark/>
          </w:tcPr>
          <w:p w14:paraId="09204B14" w14:textId="77777777" w:rsidR="004B4B47" w:rsidRPr="00D55DA8" w:rsidRDefault="004B4B47" w:rsidP="004B4B47">
            <w:pPr>
              <w:rPr>
                <w:sz w:val="20"/>
                <w:szCs w:val="20"/>
              </w:rPr>
            </w:pPr>
          </w:p>
        </w:tc>
        <w:tc>
          <w:tcPr>
            <w:tcW w:w="1627" w:type="dxa"/>
            <w:tcBorders>
              <w:top w:val="nil"/>
              <w:left w:val="nil"/>
              <w:bottom w:val="nil"/>
              <w:right w:val="nil"/>
            </w:tcBorders>
            <w:shd w:val="clear" w:color="auto" w:fill="auto"/>
            <w:noWrap/>
            <w:vAlign w:val="bottom"/>
            <w:hideMark/>
          </w:tcPr>
          <w:p w14:paraId="36ECFEDB" w14:textId="77777777" w:rsidR="004B4B47" w:rsidRPr="00D55DA8" w:rsidRDefault="004B4B47" w:rsidP="004B4B47">
            <w:pPr>
              <w:jc w:val="center"/>
              <w:rPr>
                <w:sz w:val="20"/>
                <w:szCs w:val="20"/>
              </w:rPr>
            </w:pPr>
          </w:p>
        </w:tc>
        <w:tc>
          <w:tcPr>
            <w:tcW w:w="2090" w:type="dxa"/>
            <w:tcBorders>
              <w:top w:val="nil"/>
              <w:left w:val="nil"/>
              <w:bottom w:val="nil"/>
              <w:right w:val="nil"/>
            </w:tcBorders>
            <w:shd w:val="clear" w:color="auto" w:fill="auto"/>
            <w:noWrap/>
            <w:vAlign w:val="bottom"/>
            <w:hideMark/>
          </w:tcPr>
          <w:p w14:paraId="3CF9E110" w14:textId="77777777" w:rsidR="004B4B47" w:rsidRPr="00D55DA8" w:rsidRDefault="004B4B47" w:rsidP="004B4B47">
            <w:pPr>
              <w:jc w:val="center"/>
              <w:rPr>
                <w:sz w:val="20"/>
                <w:szCs w:val="20"/>
                <w:lang w:val="en-CA"/>
              </w:rPr>
            </w:pPr>
            <w:r w:rsidRPr="00D55DA8">
              <w:rPr>
                <w:sz w:val="20"/>
                <w:szCs w:val="20"/>
                <w:lang w:val="en-CA"/>
              </w:rPr>
              <w:t>6.661***</w:t>
            </w:r>
          </w:p>
        </w:tc>
        <w:tc>
          <w:tcPr>
            <w:tcW w:w="1063" w:type="dxa"/>
            <w:tcBorders>
              <w:top w:val="nil"/>
              <w:left w:val="nil"/>
              <w:bottom w:val="nil"/>
              <w:right w:val="nil"/>
            </w:tcBorders>
            <w:shd w:val="clear" w:color="auto" w:fill="auto"/>
            <w:noWrap/>
            <w:vAlign w:val="bottom"/>
            <w:hideMark/>
          </w:tcPr>
          <w:p w14:paraId="593C03EB"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6E6F37CB"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3BBC5664" w14:textId="77777777" w:rsidR="004B4B47" w:rsidRPr="00D55DA8" w:rsidRDefault="004B4B47" w:rsidP="004B4B47">
            <w:pPr>
              <w:jc w:val="center"/>
              <w:rPr>
                <w:sz w:val="20"/>
                <w:szCs w:val="20"/>
                <w:lang w:val="en-CA"/>
              </w:rPr>
            </w:pPr>
          </w:p>
        </w:tc>
      </w:tr>
      <w:tr w:rsidR="004B4B47" w:rsidRPr="00D55DA8" w14:paraId="2FE827DC" w14:textId="77777777" w:rsidTr="004B4B47">
        <w:trPr>
          <w:trHeight w:val="280"/>
        </w:trPr>
        <w:tc>
          <w:tcPr>
            <w:tcW w:w="2634" w:type="dxa"/>
            <w:tcBorders>
              <w:top w:val="nil"/>
              <w:left w:val="nil"/>
              <w:bottom w:val="nil"/>
              <w:right w:val="nil"/>
            </w:tcBorders>
            <w:shd w:val="clear" w:color="auto" w:fill="auto"/>
            <w:noWrap/>
            <w:vAlign w:val="bottom"/>
            <w:hideMark/>
          </w:tcPr>
          <w:p w14:paraId="304C1E93"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733DAD50"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202ED3F2" w14:textId="77777777" w:rsidR="004B4B47" w:rsidRPr="00D55DA8" w:rsidRDefault="004B4B47" w:rsidP="004B4B47">
            <w:pPr>
              <w:jc w:val="center"/>
              <w:rPr>
                <w:sz w:val="20"/>
                <w:szCs w:val="20"/>
                <w:lang w:val="en-CA"/>
              </w:rPr>
            </w:pPr>
          </w:p>
        </w:tc>
        <w:tc>
          <w:tcPr>
            <w:tcW w:w="2090" w:type="dxa"/>
            <w:tcBorders>
              <w:top w:val="nil"/>
              <w:left w:val="nil"/>
              <w:bottom w:val="nil"/>
              <w:right w:val="nil"/>
            </w:tcBorders>
            <w:shd w:val="clear" w:color="auto" w:fill="auto"/>
            <w:noWrap/>
            <w:vAlign w:val="bottom"/>
            <w:hideMark/>
          </w:tcPr>
          <w:p w14:paraId="3F85A462" w14:textId="77777777" w:rsidR="004B4B47" w:rsidRPr="00D55DA8" w:rsidRDefault="004B4B47" w:rsidP="004B4B47">
            <w:pPr>
              <w:jc w:val="center"/>
              <w:rPr>
                <w:sz w:val="20"/>
                <w:szCs w:val="20"/>
                <w:lang w:val="en-CA"/>
              </w:rPr>
            </w:pPr>
            <w:r w:rsidRPr="00D55DA8">
              <w:rPr>
                <w:sz w:val="20"/>
                <w:szCs w:val="20"/>
                <w:lang w:val="en-CA"/>
              </w:rPr>
              <w:t>(1.787)</w:t>
            </w:r>
          </w:p>
        </w:tc>
        <w:tc>
          <w:tcPr>
            <w:tcW w:w="1063" w:type="dxa"/>
            <w:tcBorders>
              <w:top w:val="nil"/>
              <w:left w:val="nil"/>
              <w:bottom w:val="nil"/>
              <w:right w:val="nil"/>
            </w:tcBorders>
            <w:shd w:val="clear" w:color="auto" w:fill="auto"/>
            <w:noWrap/>
            <w:vAlign w:val="bottom"/>
            <w:hideMark/>
          </w:tcPr>
          <w:p w14:paraId="050029A8"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724AD4A4"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3BCC83C6" w14:textId="77777777" w:rsidR="004B4B47" w:rsidRPr="00D55DA8" w:rsidRDefault="004B4B47" w:rsidP="004B4B47">
            <w:pPr>
              <w:jc w:val="center"/>
              <w:rPr>
                <w:sz w:val="20"/>
                <w:szCs w:val="20"/>
                <w:lang w:val="en-CA"/>
              </w:rPr>
            </w:pPr>
          </w:p>
        </w:tc>
      </w:tr>
      <w:tr w:rsidR="004B4B47" w:rsidRPr="00D55DA8" w14:paraId="20E3314E" w14:textId="77777777" w:rsidTr="004B4B47">
        <w:trPr>
          <w:trHeight w:val="280"/>
        </w:trPr>
        <w:tc>
          <w:tcPr>
            <w:tcW w:w="2634" w:type="dxa"/>
            <w:tcBorders>
              <w:top w:val="nil"/>
              <w:left w:val="nil"/>
              <w:bottom w:val="nil"/>
              <w:right w:val="nil"/>
            </w:tcBorders>
            <w:shd w:val="clear" w:color="auto" w:fill="auto"/>
            <w:noWrap/>
            <w:vAlign w:val="bottom"/>
            <w:hideMark/>
          </w:tcPr>
          <w:p w14:paraId="784DF018" w14:textId="77777777" w:rsidR="004B4B47" w:rsidRPr="00D55DA8" w:rsidRDefault="004B4B47" w:rsidP="004B4B47">
            <w:pPr>
              <w:rPr>
                <w:sz w:val="20"/>
                <w:szCs w:val="20"/>
                <w:lang w:val="en-CA"/>
              </w:rPr>
            </w:pPr>
            <w:r w:rsidRPr="00D55DA8">
              <w:rPr>
                <w:sz w:val="20"/>
                <w:szCs w:val="20"/>
                <w:lang w:val="en-CA"/>
              </w:rPr>
              <w:t>GDP growth T-2</w:t>
            </w:r>
          </w:p>
        </w:tc>
        <w:tc>
          <w:tcPr>
            <w:tcW w:w="1063" w:type="dxa"/>
            <w:tcBorders>
              <w:top w:val="nil"/>
              <w:left w:val="nil"/>
              <w:bottom w:val="nil"/>
              <w:right w:val="nil"/>
            </w:tcBorders>
            <w:shd w:val="clear" w:color="auto" w:fill="auto"/>
            <w:noWrap/>
            <w:vAlign w:val="bottom"/>
            <w:hideMark/>
          </w:tcPr>
          <w:p w14:paraId="6100CC5E" w14:textId="77777777" w:rsidR="004B4B47" w:rsidRPr="00D55DA8" w:rsidRDefault="004B4B47" w:rsidP="004B4B47">
            <w:pPr>
              <w:jc w:val="center"/>
              <w:rPr>
                <w:sz w:val="20"/>
                <w:szCs w:val="20"/>
                <w:lang w:val="en-CA"/>
              </w:rPr>
            </w:pPr>
            <w:r w:rsidRPr="00D55DA8">
              <w:rPr>
                <w:sz w:val="20"/>
                <w:szCs w:val="20"/>
                <w:lang w:val="en-CA"/>
              </w:rPr>
              <w:t>1.521</w:t>
            </w:r>
          </w:p>
        </w:tc>
        <w:tc>
          <w:tcPr>
            <w:tcW w:w="1627" w:type="dxa"/>
            <w:tcBorders>
              <w:top w:val="nil"/>
              <w:left w:val="nil"/>
              <w:bottom w:val="nil"/>
              <w:right w:val="nil"/>
            </w:tcBorders>
            <w:shd w:val="clear" w:color="auto" w:fill="auto"/>
            <w:noWrap/>
            <w:vAlign w:val="bottom"/>
            <w:hideMark/>
          </w:tcPr>
          <w:p w14:paraId="76AD1187" w14:textId="77777777" w:rsidR="004B4B47" w:rsidRPr="00D55DA8" w:rsidRDefault="004B4B47" w:rsidP="004B4B47">
            <w:pPr>
              <w:jc w:val="center"/>
              <w:rPr>
                <w:sz w:val="20"/>
                <w:szCs w:val="20"/>
                <w:lang w:val="en-CA"/>
              </w:rPr>
            </w:pPr>
            <w:r w:rsidRPr="00D55DA8">
              <w:rPr>
                <w:sz w:val="20"/>
                <w:szCs w:val="20"/>
                <w:lang w:val="en-CA"/>
              </w:rPr>
              <w:t>1.640</w:t>
            </w:r>
          </w:p>
        </w:tc>
        <w:tc>
          <w:tcPr>
            <w:tcW w:w="2090" w:type="dxa"/>
            <w:tcBorders>
              <w:top w:val="nil"/>
              <w:left w:val="nil"/>
              <w:bottom w:val="nil"/>
              <w:right w:val="nil"/>
            </w:tcBorders>
            <w:shd w:val="clear" w:color="auto" w:fill="auto"/>
            <w:noWrap/>
            <w:vAlign w:val="bottom"/>
            <w:hideMark/>
          </w:tcPr>
          <w:p w14:paraId="68867102" w14:textId="77777777" w:rsidR="004B4B47" w:rsidRPr="00D55DA8" w:rsidRDefault="004B4B47" w:rsidP="004B4B47">
            <w:pPr>
              <w:jc w:val="center"/>
              <w:rPr>
                <w:sz w:val="20"/>
                <w:szCs w:val="20"/>
                <w:lang w:val="en-CA"/>
              </w:rPr>
            </w:pPr>
            <w:r w:rsidRPr="00D55DA8">
              <w:rPr>
                <w:sz w:val="20"/>
                <w:szCs w:val="20"/>
                <w:lang w:val="en-CA"/>
              </w:rPr>
              <w:t>1.211</w:t>
            </w:r>
          </w:p>
        </w:tc>
        <w:tc>
          <w:tcPr>
            <w:tcW w:w="1063" w:type="dxa"/>
            <w:tcBorders>
              <w:top w:val="nil"/>
              <w:left w:val="nil"/>
              <w:bottom w:val="nil"/>
              <w:right w:val="nil"/>
            </w:tcBorders>
            <w:shd w:val="clear" w:color="auto" w:fill="auto"/>
            <w:noWrap/>
            <w:vAlign w:val="bottom"/>
            <w:hideMark/>
          </w:tcPr>
          <w:p w14:paraId="08AA5B6E" w14:textId="77777777" w:rsidR="004B4B47" w:rsidRPr="00D55DA8" w:rsidRDefault="004B4B47" w:rsidP="004B4B47">
            <w:pPr>
              <w:jc w:val="center"/>
              <w:rPr>
                <w:sz w:val="20"/>
                <w:szCs w:val="20"/>
                <w:lang w:val="en-CA"/>
              </w:rPr>
            </w:pPr>
            <w:r w:rsidRPr="00D55DA8">
              <w:rPr>
                <w:sz w:val="20"/>
                <w:szCs w:val="20"/>
                <w:lang w:val="en-CA"/>
              </w:rPr>
              <w:t>2.169</w:t>
            </w:r>
          </w:p>
        </w:tc>
        <w:tc>
          <w:tcPr>
            <w:tcW w:w="1063" w:type="dxa"/>
            <w:tcBorders>
              <w:top w:val="nil"/>
              <w:left w:val="nil"/>
              <w:bottom w:val="nil"/>
              <w:right w:val="nil"/>
            </w:tcBorders>
            <w:shd w:val="clear" w:color="auto" w:fill="auto"/>
            <w:noWrap/>
            <w:vAlign w:val="bottom"/>
            <w:hideMark/>
          </w:tcPr>
          <w:p w14:paraId="0A824E8D" w14:textId="77777777" w:rsidR="004B4B47" w:rsidRPr="00D55DA8" w:rsidRDefault="004B4B47" w:rsidP="004B4B47">
            <w:pPr>
              <w:jc w:val="center"/>
              <w:rPr>
                <w:sz w:val="20"/>
                <w:szCs w:val="20"/>
                <w:lang w:val="en-CA"/>
              </w:rPr>
            </w:pPr>
            <w:r w:rsidRPr="00D55DA8">
              <w:rPr>
                <w:sz w:val="20"/>
                <w:szCs w:val="20"/>
                <w:lang w:val="en-CA"/>
              </w:rPr>
              <w:t>0.225</w:t>
            </w:r>
          </w:p>
        </w:tc>
        <w:tc>
          <w:tcPr>
            <w:tcW w:w="1233" w:type="dxa"/>
            <w:tcBorders>
              <w:top w:val="nil"/>
              <w:left w:val="nil"/>
              <w:bottom w:val="nil"/>
              <w:right w:val="nil"/>
            </w:tcBorders>
            <w:shd w:val="clear" w:color="auto" w:fill="auto"/>
            <w:noWrap/>
            <w:vAlign w:val="bottom"/>
            <w:hideMark/>
          </w:tcPr>
          <w:p w14:paraId="440C248E" w14:textId="77777777" w:rsidR="004B4B47" w:rsidRPr="00D55DA8" w:rsidRDefault="004B4B47" w:rsidP="004B4B47">
            <w:pPr>
              <w:jc w:val="center"/>
              <w:rPr>
                <w:sz w:val="20"/>
                <w:szCs w:val="20"/>
                <w:lang w:val="en-CA"/>
              </w:rPr>
            </w:pPr>
            <w:r w:rsidRPr="00D55DA8">
              <w:rPr>
                <w:sz w:val="20"/>
                <w:szCs w:val="20"/>
                <w:lang w:val="en-CA"/>
              </w:rPr>
              <w:t>1.097</w:t>
            </w:r>
          </w:p>
        </w:tc>
      </w:tr>
      <w:tr w:rsidR="004B4B47" w:rsidRPr="00D55DA8" w14:paraId="5BF2F718" w14:textId="77777777" w:rsidTr="004B4B47">
        <w:trPr>
          <w:trHeight w:val="280"/>
        </w:trPr>
        <w:tc>
          <w:tcPr>
            <w:tcW w:w="2634" w:type="dxa"/>
            <w:tcBorders>
              <w:top w:val="nil"/>
              <w:left w:val="nil"/>
              <w:bottom w:val="nil"/>
              <w:right w:val="nil"/>
            </w:tcBorders>
            <w:shd w:val="clear" w:color="auto" w:fill="auto"/>
            <w:noWrap/>
            <w:vAlign w:val="bottom"/>
            <w:hideMark/>
          </w:tcPr>
          <w:p w14:paraId="46E74F62"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32DD3878" w14:textId="77777777" w:rsidR="004B4B47" w:rsidRPr="00D55DA8" w:rsidRDefault="004B4B47" w:rsidP="004B4B47">
            <w:pPr>
              <w:jc w:val="center"/>
              <w:rPr>
                <w:sz w:val="20"/>
                <w:szCs w:val="20"/>
                <w:lang w:val="en-CA"/>
              </w:rPr>
            </w:pPr>
            <w:r w:rsidRPr="00D55DA8">
              <w:rPr>
                <w:sz w:val="20"/>
                <w:szCs w:val="20"/>
                <w:lang w:val="en-CA"/>
              </w:rPr>
              <w:t>(1.048)</w:t>
            </w:r>
          </w:p>
        </w:tc>
        <w:tc>
          <w:tcPr>
            <w:tcW w:w="1627" w:type="dxa"/>
            <w:tcBorders>
              <w:top w:val="nil"/>
              <w:left w:val="nil"/>
              <w:bottom w:val="nil"/>
              <w:right w:val="nil"/>
            </w:tcBorders>
            <w:shd w:val="clear" w:color="auto" w:fill="auto"/>
            <w:noWrap/>
            <w:vAlign w:val="bottom"/>
            <w:hideMark/>
          </w:tcPr>
          <w:p w14:paraId="6BCC3393" w14:textId="77777777" w:rsidR="004B4B47" w:rsidRPr="00D55DA8" w:rsidRDefault="004B4B47" w:rsidP="004B4B47">
            <w:pPr>
              <w:jc w:val="center"/>
              <w:rPr>
                <w:sz w:val="20"/>
                <w:szCs w:val="20"/>
                <w:lang w:val="en-CA"/>
              </w:rPr>
            </w:pPr>
            <w:r w:rsidRPr="00D55DA8">
              <w:rPr>
                <w:sz w:val="20"/>
                <w:szCs w:val="20"/>
                <w:lang w:val="en-CA"/>
              </w:rPr>
              <w:t>(1.015)</w:t>
            </w:r>
          </w:p>
        </w:tc>
        <w:tc>
          <w:tcPr>
            <w:tcW w:w="2090" w:type="dxa"/>
            <w:tcBorders>
              <w:top w:val="nil"/>
              <w:left w:val="nil"/>
              <w:bottom w:val="nil"/>
              <w:right w:val="nil"/>
            </w:tcBorders>
            <w:shd w:val="clear" w:color="auto" w:fill="auto"/>
            <w:noWrap/>
            <w:vAlign w:val="bottom"/>
            <w:hideMark/>
          </w:tcPr>
          <w:p w14:paraId="13E38265" w14:textId="77777777" w:rsidR="004B4B47" w:rsidRPr="00D55DA8" w:rsidRDefault="004B4B47" w:rsidP="004B4B47">
            <w:pPr>
              <w:jc w:val="center"/>
              <w:rPr>
                <w:sz w:val="20"/>
                <w:szCs w:val="20"/>
                <w:lang w:val="en-CA"/>
              </w:rPr>
            </w:pPr>
            <w:r w:rsidRPr="00D55DA8">
              <w:rPr>
                <w:sz w:val="20"/>
                <w:szCs w:val="20"/>
                <w:lang w:val="en-CA"/>
              </w:rPr>
              <w:t>(1.020)</w:t>
            </w:r>
          </w:p>
        </w:tc>
        <w:tc>
          <w:tcPr>
            <w:tcW w:w="1063" w:type="dxa"/>
            <w:tcBorders>
              <w:top w:val="nil"/>
              <w:left w:val="nil"/>
              <w:bottom w:val="nil"/>
              <w:right w:val="nil"/>
            </w:tcBorders>
            <w:shd w:val="clear" w:color="auto" w:fill="auto"/>
            <w:noWrap/>
            <w:vAlign w:val="bottom"/>
            <w:hideMark/>
          </w:tcPr>
          <w:p w14:paraId="1A0E1710" w14:textId="77777777" w:rsidR="004B4B47" w:rsidRPr="00D55DA8" w:rsidRDefault="004B4B47" w:rsidP="004B4B47">
            <w:pPr>
              <w:jc w:val="center"/>
              <w:rPr>
                <w:sz w:val="20"/>
                <w:szCs w:val="20"/>
                <w:lang w:val="en-CA"/>
              </w:rPr>
            </w:pPr>
            <w:r w:rsidRPr="00D55DA8">
              <w:rPr>
                <w:sz w:val="20"/>
                <w:szCs w:val="20"/>
                <w:lang w:val="en-CA"/>
              </w:rPr>
              <w:t>(1.324)</w:t>
            </w:r>
          </w:p>
        </w:tc>
        <w:tc>
          <w:tcPr>
            <w:tcW w:w="1063" w:type="dxa"/>
            <w:tcBorders>
              <w:top w:val="nil"/>
              <w:left w:val="nil"/>
              <w:bottom w:val="nil"/>
              <w:right w:val="nil"/>
            </w:tcBorders>
            <w:shd w:val="clear" w:color="auto" w:fill="auto"/>
            <w:noWrap/>
            <w:vAlign w:val="bottom"/>
            <w:hideMark/>
          </w:tcPr>
          <w:p w14:paraId="29978766" w14:textId="77777777" w:rsidR="004B4B47" w:rsidRPr="00D55DA8" w:rsidRDefault="004B4B47" w:rsidP="004B4B47">
            <w:pPr>
              <w:jc w:val="center"/>
              <w:rPr>
                <w:sz w:val="20"/>
                <w:szCs w:val="20"/>
                <w:lang w:val="en-CA"/>
              </w:rPr>
            </w:pPr>
            <w:r w:rsidRPr="00D55DA8">
              <w:rPr>
                <w:sz w:val="20"/>
                <w:szCs w:val="20"/>
                <w:lang w:val="en-CA"/>
              </w:rPr>
              <w:t>(1.431)</w:t>
            </w:r>
          </w:p>
        </w:tc>
        <w:tc>
          <w:tcPr>
            <w:tcW w:w="1233" w:type="dxa"/>
            <w:tcBorders>
              <w:top w:val="nil"/>
              <w:left w:val="nil"/>
              <w:bottom w:val="nil"/>
              <w:right w:val="nil"/>
            </w:tcBorders>
            <w:shd w:val="clear" w:color="auto" w:fill="auto"/>
            <w:noWrap/>
            <w:vAlign w:val="bottom"/>
            <w:hideMark/>
          </w:tcPr>
          <w:p w14:paraId="35320B94" w14:textId="77777777" w:rsidR="004B4B47" w:rsidRPr="00D55DA8" w:rsidRDefault="004B4B47" w:rsidP="004B4B47">
            <w:pPr>
              <w:jc w:val="center"/>
              <w:rPr>
                <w:sz w:val="20"/>
                <w:szCs w:val="20"/>
                <w:lang w:val="en-CA"/>
              </w:rPr>
            </w:pPr>
            <w:r w:rsidRPr="00D55DA8">
              <w:rPr>
                <w:sz w:val="20"/>
                <w:szCs w:val="20"/>
                <w:lang w:val="en-CA"/>
              </w:rPr>
              <w:t>(2.704)</w:t>
            </w:r>
          </w:p>
        </w:tc>
      </w:tr>
      <w:tr w:rsidR="004B4B47" w:rsidRPr="00D55DA8" w14:paraId="2D39E3C1" w14:textId="77777777" w:rsidTr="004B4B47">
        <w:trPr>
          <w:trHeight w:val="280"/>
        </w:trPr>
        <w:tc>
          <w:tcPr>
            <w:tcW w:w="2634" w:type="dxa"/>
            <w:tcBorders>
              <w:top w:val="nil"/>
              <w:left w:val="nil"/>
              <w:bottom w:val="nil"/>
              <w:right w:val="nil"/>
            </w:tcBorders>
            <w:shd w:val="clear" w:color="auto" w:fill="auto"/>
            <w:noWrap/>
            <w:vAlign w:val="bottom"/>
            <w:hideMark/>
          </w:tcPr>
          <w:p w14:paraId="12FE34C1" w14:textId="77777777" w:rsidR="004B4B47" w:rsidRPr="00D55DA8" w:rsidRDefault="004B4B47" w:rsidP="004B4B47">
            <w:pPr>
              <w:rPr>
                <w:sz w:val="20"/>
                <w:szCs w:val="20"/>
                <w:lang w:val="en-CA"/>
              </w:rPr>
            </w:pPr>
            <w:r w:rsidRPr="00D55DA8">
              <w:rPr>
                <w:sz w:val="20"/>
                <w:szCs w:val="20"/>
                <w:lang w:val="en-CA"/>
              </w:rPr>
              <w:t>Inflation T-1</w:t>
            </w:r>
          </w:p>
        </w:tc>
        <w:tc>
          <w:tcPr>
            <w:tcW w:w="1063" w:type="dxa"/>
            <w:tcBorders>
              <w:top w:val="nil"/>
              <w:left w:val="nil"/>
              <w:bottom w:val="nil"/>
              <w:right w:val="nil"/>
            </w:tcBorders>
            <w:shd w:val="clear" w:color="auto" w:fill="auto"/>
            <w:noWrap/>
            <w:vAlign w:val="bottom"/>
            <w:hideMark/>
          </w:tcPr>
          <w:p w14:paraId="3D3A8C35" w14:textId="77777777" w:rsidR="004B4B47" w:rsidRPr="00D55DA8" w:rsidRDefault="004B4B47" w:rsidP="004B4B47">
            <w:pPr>
              <w:jc w:val="center"/>
              <w:rPr>
                <w:sz w:val="20"/>
                <w:szCs w:val="20"/>
                <w:lang w:val="en-CA"/>
              </w:rPr>
            </w:pPr>
            <w:r w:rsidRPr="00D55DA8">
              <w:rPr>
                <w:sz w:val="20"/>
                <w:szCs w:val="20"/>
                <w:lang w:val="en-CA"/>
              </w:rPr>
              <w:t>-1.331</w:t>
            </w:r>
          </w:p>
        </w:tc>
        <w:tc>
          <w:tcPr>
            <w:tcW w:w="1627" w:type="dxa"/>
            <w:tcBorders>
              <w:top w:val="nil"/>
              <w:left w:val="nil"/>
              <w:bottom w:val="nil"/>
              <w:right w:val="nil"/>
            </w:tcBorders>
            <w:shd w:val="clear" w:color="auto" w:fill="auto"/>
            <w:noWrap/>
            <w:vAlign w:val="bottom"/>
            <w:hideMark/>
          </w:tcPr>
          <w:p w14:paraId="0A219AA9" w14:textId="77777777" w:rsidR="004B4B47" w:rsidRPr="00D55DA8" w:rsidRDefault="004B4B47" w:rsidP="004B4B47">
            <w:pPr>
              <w:jc w:val="center"/>
              <w:rPr>
                <w:sz w:val="20"/>
                <w:szCs w:val="20"/>
                <w:lang w:val="en-CA"/>
              </w:rPr>
            </w:pPr>
            <w:r w:rsidRPr="00D55DA8">
              <w:rPr>
                <w:sz w:val="20"/>
                <w:szCs w:val="20"/>
                <w:lang w:val="en-CA"/>
              </w:rPr>
              <w:t>-0.0201</w:t>
            </w:r>
          </w:p>
        </w:tc>
        <w:tc>
          <w:tcPr>
            <w:tcW w:w="2090" w:type="dxa"/>
            <w:tcBorders>
              <w:top w:val="nil"/>
              <w:left w:val="nil"/>
              <w:bottom w:val="nil"/>
              <w:right w:val="nil"/>
            </w:tcBorders>
            <w:shd w:val="clear" w:color="auto" w:fill="auto"/>
            <w:noWrap/>
            <w:vAlign w:val="bottom"/>
            <w:hideMark/>
          </w:tcPr>
          <w:p w14:paraId="4636EADC" w14:textId="77777777" w:rsidR="004B4B47" w:rsidRPr="00D55DA8" w:rsidRDefault="004B4B47" w:rsidP="004B4B47">
            <w:pPr>
              <w:jc w:val="center"/>
              <w:rPr>
                <w:sz w:val="20"/>
                <w:szCs w:val="20"/>
                <w:lang w:val="en-CA"/>
              </w:rPr>
            </w:pPr>
            <w:r w:rsidRPr="00D55DA8">
              <w:rPr>
                <w:sz w:val="20"/>
                <w:szCs w:val="20"/>
                <w:lang w:val="en-CA"/>
              </w:rPr>
              <w:t>-1.276</w:t>
            </w:r>
          </w:p>
        </w:tc>
        <w:tc>
          <w:tcPr>
            <w:tcW w:w="1063" w:type="dxa"/>
            <w:tcBorders>
              <w:top w:val="nil"/>
              <w:left w:val="nil"/>
              <w:bottom w:val="nil"/>
              <w:right w:val="nil"/>
            </w:tcBorders>
            <w:shd w:val="clear" w:color="auto" w:fill="auto"/>
            <w:noWrap/>
            <w:vAlign w:val="bottom"/>
            <w:hideMark/>
          </w:tcPr>
          <w:p w14:paraId="43DCCCDE" w14:textId="77777777" w:rsidR="004B4B47" w:rsidRPr="00D55DA8" w:rsidRDefault="004B4B47" w:rsidP="004B4B47">
            <w:pPr>
              <w:jc w:val="center"/>
              <w:rPr>
                <w:sz w:val="20"/>
                <w:szCs w:val="20"/>
                <w:lang w:val="en-CA"/>
              </w:rPr>
            </w:pPr>
            <w:r w:rsidRPr="00D55DA8">
              <w:rPr>
                <w:sz w:val="20"/>
                <w:szCs w:val="20"/>
                <w:lang w:val="en-CA"/>
              </w:rPr>
              <w:t>-0.142</w:t>
            </w:r>
          </w:p>
        </w:tc>
        <w:tc>
          <w:tcPr>
            <w:tcW w:w="1063" w:type="dxa"/>
            <w:tcBorders>
              <w:top w:val="nil"/>
              <w:left w:val="nil"/>
              <w:bottom w:val="nil"/>
              <w:right w:val="nil"/>
            </w:tcBorders>
            <w:shd w:val="clear" w:color="auto" w:fill="auto"/>
            <w:noWrap/>
            <w:vAlign w:val="bottom"/>
            <w:hideMark/>
          </w:tcPr>
          <w:p w14:paraId="08AC3D6A" w14:textId="77777777" w:rsidR="004B4B47" w:rsidRPr="00D55DA8" w:rsidRDefault="004B4B47" w:rsidP="004B4B47">
            <w:pPr>
              <w:jc w:val="center"/>
              <w:rPr>
                <w:sz w:val="20"/>
                <w:szCs w:val="20"/>
                <w:lang w:val="en-CA"/>
              </w:rPr>
            </w:pPr>
            <w:r w:rsidRPr="00D55DA8">
              <w:rPr>
                <w:sz w:val="20"/>
                <w:szCs w:val="20"/>
                <w:lang w:val="en-CA"/>
              </w:rPr>
              <w:t>3.209*</w:t>
            </w:r>
          </w:p>
        </w:tc>
        <w:tc>
          <w:tcPr>
            <w:tcW w:w="1233" w:type="dxa"/>
            <w:tcBorders>
              <w:top w:val="nil"/>
              <w:left w:val="nil"/>
              <w:bottom w:val="nil"/>
              <w:right w:val="nil"/>
            </w:tcBorders>
            <w:shd w:val="clear" w:color="auto" w:fill="auto"/>
            <w:noWrap/>
            <w:vAlign w:val="bottom"/>
            <w:hideMark/>
          </w:tcPr>
          <w:p w14:paraId="52BCBA0A" w14:textId="77777777" w:rsidR="004B4B47" w:rsidRPr="00D55DA8" w:rsidRDefault="004B4B47" w:rsidP="004B4B47">
            <w:pPr>
              <w:jc w:val="center"/>
              <w:rPr>
                <w:sz w:val="20"/>
                <w:szCs w:val="20"/>
                <w:lang w:val="en-CA"/>
              </w:rPr>
            </w:pPr>
            <w:r w:rsidRPr="00D55DA8">
              <w:rPr>
                <w:sz w:val="20"/>
                <w:szCs w:val="20"/>
                <w:lang w:val="en-CA"/>
              </w:rPr>
              <w:t>-0.240</w:t>
            </w:r>
          </w:p>
        </w:tc>
      </w:tr>
      <w:tr w:rsidR="004B4B47" w:rsidRPr="00D55DA8" w14:paraId="74D67E58" w14:textId="77777777" w:rsidTr="004B4B47">
        <w:trPr>
          <w:trHeight w:val="280"/>
        </w:trPr>
        <w:tc>
          <w:tcPr>
            <w:tcW w:w="2634" w:type="dxa"/>
            <w:tcBorders>
              <w:top w:val="nil"/>
              <w:left w:val="nil"/>
              <w:bottom w:val="nil"/>
              <w:right w:val="nil"/>
            </w:tcBorders>
            <w:shd w:val="clear" w:color="auto" w:fill="auto"/>
            <w:noWrap/>
            <w:vAlign w:val="bottom"/>
            <w:hideMark/>
          </w:tcPr>
          <w:p w14:paraId="20E33FF4"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49192924" w14:textId="77777777" w:rsidR="004B4B47" w:rsidRPr="00D55DA8" w:rsidRDefault="004B4B47" w:rsidP="004B4B47">
            <w:pPr>
              <w:jc w:val="center"/>
              <w:rPr>
                <w:sz w:val="20"/>
                <w:szCs w:val="20"/>
                <w:lang w:val="en-CA"/>
              </w:rPr>
            </w:pPr>
            <w:r w:rsidRPr="00D55DA8">
              <w:rPr>
                <w:sz w:val="20"/>
                <w:szCs w:val="20"/>
                <w:lang w:val="en-CA"/>
              </w:rPr>
              <w:t>(0.972)</w:t>
            </w:r>
          </w:p>
        </w:tc>
        <w:tc>
          <w:tcPr>
            <w:tcW w:w="1627" w:type="dxa"/>
            <w:tcBorders>
              <w:top w:val="nil"/>
              <w:left w:val="nil"/>
              <w:bottom w:val="nil"/>
              <w:right w:val="nil"/>
            </w:tcBorders>
            <w:shd w:val="clear" w:color="auto" w:fill="auto"/>
            <w:noWrap/>
            <w:vAlign w:val="bottom"/>
            <w:hideMark/>
          </w:tcPr>
          <w:p w14:paraId="654C1814" w14:textId="77777777" w:rsidR="004B4B47" w:rsidRPr="00D55DA8" w:rsidRDefault="004B4B47" w:rsidP="004B4B47">
            <w:pPr>
              <w:jc w:val="center"/>
              <w:rPr>
                <w:sz w:val="20"/>
                <w:szCs w:val="20"/>
                <w:lang w:val="en-CA"/>
              </w:rPr>
            </w:pPr>
            <w:r w:rsidRPr="00D55DA8">
              <w:rPr>
                <w:sz w:val="20"/>
                <w:szCs w:val="20"/>
                <w:lang w:val="en-CA"/>
              </w:rPr>
              <w:t>(1.075)</w:t>
            </w:r>
          </w:p>
        </w:tc>
        <w:tc>
          <w:tcPr>
            <w:tcW w:w="2090" w:type="dxa"/>
            <w:tcBorders>
              <w:top w:val="nil"/>
              <w:left w:val="nil"/>
              <w:bottom w:val="nil"/>
              <w:right w:val="nil"/>
            </w:tcBorders>
            <w:shd w:val="clear" w:color="auto" w:fill="auto"/>
            <w:noWrap/>
            <w:vAlign w:val="bottom"/>
            <w:hideMark/>
          </w:tcPr>
          <w:p w14:paraId="3344947A" w14:textId="77777777" w:rsidR="004B4B47" w:rsidRPr="00D55DA8" w:rsidRDefault="004B4B47" w:rsidP="004B4B47">
            <w:pPr>
              <w:jc w:val="center"/>
              <w:rPr>
                <w:sz w:val="20"/>
                <w:szCs w:val="20"/>
                <w:lang w:val="en-CA"/>
              </w:rPr>
            </w:pPr>
            <w:r w:rsidRPr="00D55DA8">
              <w:rPr>
                <w:sz w:val="20"/>
                <w:szCs w:val="20"/>
                <w:lang w:val="en-CA"/>
              </w:rPr>
              <w:t>(0.940)</w:t>
            </w:r>
          </w:p>
        </w:tc>
        <w:tc>
          <w:tcPr>
            <w:tcW w:w="1063" w:type="dxa"/>
            <w:tcBorders>
              <w:top w:val="nil"/>
              <w:left w:val="nil"/>
              <w:bottom w:val="nil"/>
              <w:right w:val="nil"/>
            </w:tcBorders>
            <w:shd w:val="clear" w:color="auto" w:fill="auto"/>
            <w:noWrap/>
            <w:vAlign w:val="bottom"/>
            <w:hideMark/>
          </w:tcPr>
          <w:p w14:paraId="6900E4A9" w14:textId="77777777" w:rsidR="004B4B47" w:rsidRPr="00D55DA8" w:rsidRDefault="004B4B47" w:rsidP="004B4B47">
            <w:pPr>
              <w:jc w:val="center"/>
              <w:rPr>
                <w:sz w:val="20"/>
                <w:szCs w:val="20"/>
                <w:lang w:val="en-CA"/>
              </w:rPr>
            </w:pPr>
            <w:r w:rsidRPr="00D55DA8">
              <w:rPr>
                <w:sz w:val="20"/>
                <w:szCs w:val="20"/>
                <w:lang w:val="en-CA"/>
              </w:rPr>
              <w:t>(1.482)</w:t>
            </w:r>
          </w:p>
        </w:tc>
        <w:tc>
          <w:tcPr>
            <w:tcW w:w="1063" w:type="dxa"/>
            <w:tcBorders>
              <w:top w:val="nil"/>
              <w:left w:val="nil"/>
              <w:bottom w:val="nil"/>
              <w:right w:val="nil"/>
            </w:tcBorders>
            <w:shd w:val="clear" w:color="auto" w:fill="auto"/>
            <w:noWrap/>
            <w:vAlign w:val="bottom"/>
            <w:hideMark/>
          </w:tcPr>
          <w:p w14:paraId="62510727" w14:textId="77777777" w:rsidR="004B4B47" w:rsidRPr="00D55DA8" w:rsidRDefault="004B4B47" w:rsidP="004B4B47">
            <w:pPr>
              <w:jc w:val="center"/>
              <w:rPr>
                <w:sz w:val="20"/>
                <w:szCs w:val="20"/>
                <w:lang w:val="en-CA"/>
              </w:rPr>
            </w:pPr>
            <w:r w:rsidRPr="00D55DA8">
              <w:rPr>
                <w:sz w:val="20"/>
                <w:szCs w:val="20"/>
                <w:lang w:val="en-CA"/>
              </w:rPr>
              <w:t>(1.653)</w:t>
            </w:r>
          </w:p>
        </w:tc>
        <w:tc>
          <w:tcPr>
            <w:tcW w:w="1233" w:type="dxa"/>
            <w:tcBorders>
              <w:top w:val="nil"/>
              <w:left w:val="nil"/>
              <w:bottom w:val="nil"/>
              <w:right w:val="nil"/>
            </w:tcBorders>
            <w:shd w:val="clear" w:color="auto" w:fill="auto"/>
            <w:noWrap/>
            <w:vAlign w:val="bottom"/>
            <w:hideMark/>
          </w:tcPr>
          <w:p w14:paraId="598C4240" w14:textId="77777777" w:rsidR="004B4B47" w:rsidRPr="00D55DA8" w:rsidRDefault="004B4B47" w:rsidP="004B4B47">
            <w:pPr>
              <w:jc w:val="center"/>
              <w:rPr>
                <w:sz w:val="20"/>
                <w:szCs w:val="20"/>
                <w:lang w:val="en-CA"/>
              </w:rPr>
            </w:pPr>
            <w:r w:rsidRPr="00D55DA8">
              <w:rPr>
                <w:sz w:val="20"/>
                <w:szCs w:val="20"/>
                <w:lang w:val="en-CA"/>
              </w:rPr>
              <w:t>(2.791)</w:t>
            </w:r>
          </w:p>
        </w:tc>
      </w:tr>
      <w:tr w:rsidR="004B4B47" w:rsidRPr="00D55DA8" w14:paraId="31647A9B" w14:textId="77777777" w:rsidTr="004B4B47">
        <w:trPr>
          <w:trHeight w:val="280"/>
        </w:trPr>
        <w:tc>
          <w:tcPr>
            <w:tcW w:w="2634" w:type="dxa"/>
            <w:tcBorders>
              <w:top w:val="nil"/>
              <w:left w:val="nil"/>
              <w:bottom w:val="nil"/>
              <w:right w:val="nil"/>
            </w:tcBorders>
            <w:shd w:val="clear" w:color="auto" w:fill="auto"/>
            <w:noWrap/>
            <w:vAlign w:val="bottom"/>
            <w:hideMark/>
          </w:tcPr>
          <w:p w14:paraId="63B9E1CA" w14:textId="69C6EA8F" w:rsidR="004B4B47" w:rsidRPr="00D55DA8" w:rsidRDefault="004B4B47" w:rsidP="004B4B47">
            <w:pPr>
              <w:rPr>
                <w:sz w:val="20"/>
                <w:szCs w:val="20"/>
                <w:lang w:val="en-CA"/>
              </w:rPr>
            </w:pPr>
            <w:r w:rsidRPr="00D55DA8">
              <w:rPr>
                <w:sz w:val="20"/>
                <w:szCs w:val="20"/>
                <w:lang w:val="en-CA"/>
              </w:rPr>
              <w:t>Unemployment rate T-4</w:t>
            </w:r>
          </w:p>
        </w:tc>
        <w:tc>
          <w:tcPr>
            <w:tcW w:w="1063" w:type="dxa"/>
            <w:tcBorders>
              <w:top w:val="nil"/>
              <w:left w:val="nil"/>
              <w:bottom w:val="nil"/>
              <w:right w:val="nil"/>
            </w:tcBorders>
            <w:shd w:val="clear" w:color="auto" w:fill="auto"/>
            <w:noWrap/>
            <w:vAlign w:val="bottom"/>
            <w:hideMark/>
          </w:tcPr>
          <w:p w14:paraId="6D17EAE8" w14:textId="77777777" w:rsidR="004B4B47" w:rsidRPr="00D55DA8" w:rsidRDefault="004B4B47" w:rsidP="004B4B47">
            <w:pPr>
              <w:jc w:val="center"/>
              <w:rPr>
                <w:sz w:val="20"/>
                <w:szCs w:val="20"/>
                <w:lang w:val="en-CA"/>
              </w:rPr>
            </w:pPr>
            <w:r w:rsidRPr="00D55DA8">
              <w:rPr>
                <w:sz w:val="20"/>
                <w:szCs w:val="20"/>
                <w:lang w:val="en-CA"/>
              </w:rPr>
              <w:t>-2.013</w:t>
            </w:r>
          </w:p>
        </w:tc>
        <w:tc>
          <w:tcPr>
            <w:tcW w:w="1627" w:type="dxa"/>
            <w:tcBorders>
              <w:top w:val="nil"/>
              <w:left w:val="nil"/>
              <w:bottom w:val="nil"/>
              <w:right w:val="nil"/>
            </w:tcBorders>
            <w:shd w:val="clear" w:color="auto" w:fill="auto"/>
            <w:noWrap/>
            <w:vAlign w:val="bottom"/>
            <w:hideMark/>
          </w:tcPr>
          <w:p w14:paraId="499BAF08" w14:textId="77777777" w:rsidR="004B4B47" w:rsidRPr="00D55DA8" w:rsidRDefault="004B4B47" w:rsidP="004B4B47">
            <w:pPr>
              <w:jc w:val="center"/>
              <w:rPr>
                <w:sz w:val="20"/>
                <w:szCs w:val="20"/>
                <w:lang w:val="en-CA"/>
              </w:rPr>
            </w:pPr>
            <w:r w:rsidRPr="00D55DA8">
              <w:rPr>
                <w:sz w:val="20"/>
                <w:szCs w:val="20"/>
                <w:lang w:val="en-CA"/>
              </w:rPr>
              <w:t>-2.121</w:t>
            </w:r>
          </w:p>
        </w:tc>
        <w:tc>
          <w:tcPr>
            <w:tcW w:w="2090" w:type="dxa"/>
            <w:tcBorders>
              <w:top w:val="nil"/>
              <w:left w:val="nil"/>
              <w:bottom w:val="nil"/>
              <w:right w:val="nil"/>
            </w:tcBorders>
            <w:shd w:val="clear" w:color="auto" w:fill="auto"/>
            <w:noWrap/>
            <w:vAlign w:val="bottom"/>
            <w:hideMark/>
          </w:tcPr>
          <w:p w14:paraId="74969D58" w14:textId="77777777" w:rsidR="004B4B47" w:rsidRPr="00D55DA8" w:rsidRDefault="004B4B47" w:rsidP="004B4B47">
            <w:pPr>
              <w:jc w:val="center"/>
              <w:rPr>
                <w:sz w:val="20"/>
                <w:szCs w:val="20"/>
                <w:lang w:val="en-CA"/>
              </w:rPr>
            </w:pPr>
            <w:r w:rsidRPr="00D55DA8">
              <w:rPr>
                <w:sz w:val="20"/>
                <w:szCs w:val="20"/>
                <w:lang w:val="en-CA"/>
              </w:rPr>
              <w:t>-2.597</w:t>
            </w:r>
          </w:p>
        </w:tc>
        <w:tc>
          <w:tcPr>
            <w:tcW w:w="1063" w:type="dxa"/>
            <w:tcBorders>
              <w:top w:val="nil"/>
              <w:left w:val="nil"/>
              <w:bottom w:val="nil"/>
              <w:right w:val="nil"/>
            </w:tcBorders>
            <w:shd w:val="clear" w:color="auto" w:fill="auto"/>
            <w:noWrap/>
            <w:vAlign w:val="bottom"/>
            <w:hideMark/>
          </w:tcPr>
          <w:p w14:paraId="511F3832" w14:textId="77777777" w:rsidR="004B4B47" w:rsidRPr="00D55DA8" w:rsidRDefault="004B4B47" w:rsidP="004B4B47">
            <w:pPr>
              <w:jc w:val="center"/>
              <w:rPr>
                <w:sz w:val="20"/>
                <w:szCs w:val="20"/>
                <w:lang w:val="en-CA"/>
              </w:rPr>
            </w:pPr>
            <w:r w:rsidRPr="00D55DA8">
              <w:rPr>
                <w:sz w:val="20"/>
                <w:szCs w:val="20"/>
                <w:lang w:val="en-CA"/>
              </w:rPr>
              <w:t>-5.707**</w:t>
            </w:r>
          </w:p>
        </w:tc>
        <w:tc>
          <w:tcPr>
            <w:tcW w:w="1063" w:type="dxa"/>
            <w:tcBorders>
              <w:top w:val="nil"/>
              <w:left w:val="nil"/>
              <w:bottom w:val="nil"/>
              <w:right w:val="nil"/>
            </w:tcBorders>
            <w:shd w:val="clear" w:color="auto" w:fill="auto"/>
            <w:noWrap/>
            <w:vAlign w:val="bottom"/>
            <w:hideMark/>
          </w:tcPr>
          <w:p w14:paraId="35BBC07D" w14:textId="77777777" w:rsidR="004B4B47" w:rsidRPr="00D55DA8" w:rsidRDefault="004B4B47" w:rsidP="004B4B47">
            <w:pPr>
              <w:jc w:val="center"/>
              <w:rPr>
                <w:sz w:val="20"/>
                <w:szCs w:val="20"/>
                <w:lang w:val="en-CA"/>
              </w:rPr>
            </w:pPr>
            <w:r w:rsidRPr="00D55DA8">
              <w:rPr>
                <w:sz w:val="20"/>
                <w:szCs w:val="20"/>
                <w:lang w:val="en-CA"/>
              </w:rPr>
              <w:t>-1.084</w:t>
            </w:r>
          </w:p>
        </w:tc>
        <w:tc>
          <w:tcPr>
            <w:tcW w:w="1233" w:type="dxa"/>
            <w:tcBorders>
              <w:top w:val="nil"/>
              <w:left w:val="nil"/>
              <w:bottom w:val="nil"/>
              <w:right w:val="nil"/>
            </w:tcBorders>
            <w:shd w:val="clear" w:color="auto" w:fill="auto"/>
            <w:noWrap/>
            <w:vAlign w:val="bottom"/>
            <w:hideMark/>
          </w:tcPr>
          <w:p w14:paraId="7ED44B94" w14:textId="77777777" w:rsidR="004B4B47" w:rsidRPr="00D55DA8" w:rsidRDefault="004B4B47" w:rsidP="004B4B47">
            <w:pPr>
              <w:jc w:val="center"/>
              <w:rPr>
                <w:sz w:val="20"/>
                <w:szCs w:val="20"/>
                <w:lang w:val="en-CA"/>
              </w:rPr>
            </w:pPr>
            <w:r w:rsidRPr="00D55DA8">
              <w:rPr>
                <w:sz w:val="20"/>
                <w:szCs w:val="20"/>
                <w:lang w:val="en-CA"/>
              </w:rPr>
              <w:t>1.792</w:t>
            </w:r>
          </w:p>
        </w:tc>
      </w:tr>
      <w:tr w:rsidR="004B4B47" w:rsidRPr="00D55DA8" w14:paraId="3656A2D1" w14:textId="77777777" w:rsidTr="004B4B47">
        <w:trPr>
          <w:trHeight w:val="280"/>
        </w:trPr>
        <w:tc>
          <w:tcPr>
            <w:tcW w:w="2634" w:type="dxa"/>
            <w:tcBorders>
              <w:top w:val="nil"/>
              <w:left w:val="nil"/>
              <w:bottom w:val="nil"/>
              <w:right w:val="nil"/>
            </w:tcBorders>
            <w:shd w:val="clear" w:color="auto" w:fill="auto"/>
            <w:noWrap/>
            <w:vAlign w:val="bottom"/>
            <w:hideMark/>
          </w:tcPr>
          <w:p w14:paraId="76C0604D"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4D3B5B90" w14:textId="77777777" w:rsidR="004B4B47" w:rsidRPr="00D55DA8" w:rsidRDefault="004B4B47" w:rsidP="004B4B47">
            <w:pPr>
              <w:jc w:val="center"/>
              <w:rPr>
                <w:sz w:val="20"/>
                <w:szCs w:val="20"/>
                <w:lang w:val="en-CA"/>
              </w:rPr>
            </w:pPr>
            <w:r w:rsidRPr="00D55DA8">
              <w:rPr>
                <w:sz w:val="20"/>
                <w:szCs w:val="20"/>
                <w:lang w:val="en-CA"/>
              </w:rPr>
              <w:t>(2.392)</w:t>
            </w:r>
          </w:p>
        </w:tc>
        <w:tc>
          <w:tcPr>
            <w:tcW w:w="1627" w:type="dxa"/>
            <w:tcBorders>
              <w:top w:val="nil"/>
              <w:left w:val="nil"/>
              <w:bottom w:val="nil"/>
              <w:right w:val="nil"/>
            </w:tcBorders>
            <w:shd w:val="clear" w:color="auto" w:fill="auto"/>
            <w:noWrap/>
            <w:vAlign w:val="bottom"/>
            <w:hideMark/>
          </w:tcPr>
          <w:p w14:paraId="79348B3C" w14:textId="77777777" w:rsidR="004B4B47" w:rsidRPr="00D55DA8" w:rsidRDefault="004B4B47" w:rsidP="004B4B47">
            <w:pPr>
              <w:jc w:val="center"/>
              <w:rPr>
                <w:sz w:val="20"/>
                <w:szCs w:val="20"/>
                <w:lang w:val="en-CA"/>
              </w:rPr>
            </w:pPr>
            <w:r w:rsidRPr="00D55DA8">
              <w:rPr>
                <w:sz w:val="20"/>
                <w:szCs w:val="20"/>
                <w:lang w:val="en-CA"/>
              </w:rPr>
              <w:t>(2.362)</w:t>
            </w:r>
          </w:p>
        </w:tc>
        <w:tc>
          <w:tcPr>
            <w:tcW w:w="2090" w:type="dxa"/>
            <w:tcBorders>
              <w:top w:val="nil"/>
              <w:left w:val="nil"/>
              <w:bottom w:val="nil"/>
              <w:right w:val="nil"/>
            </w:tcBorders>
            <w:shd w:val="clear" w:color="auto" w:fill="auto"/>
            <w:noWrap/>
            <w:vAlign w:val="bottom"/>
            <w:hideMark/>
          </w:tcPr>
          <w:p w14:paraId="6FCE7A86" w14:textId="77777777" w:rsidR="004B4B47" w:rsidRPr="00D55DA8" w:rsidRDefault="004B4B47" w:rsidP="004B4B47">
            <w:pPr>
              <w:jc w:val="center"/>
              <w:rPr>
                <w:sz w:val="20"/>
                <w:szCs w:val="20"/>
                <w:lang w:val="en-CA"/>
              </w:rPr>
            </w:pPr>
            <w:r w:rsidRPr="00D55DA8">
              <w:rPr>
                <w:sz w:val="20"/>
                <w:szCs w:val="20"/>
                <w:lang w:val="en-CA"/>
              </w:rPr>
              <w:t>(2.309)</w:t>
            </w:r>
          </w:p>
        </w:tc>
        <w:tc>
          <w:tcPr>
            <w:tcW w:w="1063" w:type="dxa"/>
            <w:tcBorders>
              <w:top w:val="nil"/>
              <w:left w:val="nil"/>
              <w:bottom w:val="nil"/>
              <w:right w:val="nil"/>
            </w:tcBorders>
            <w:shd w:val="clear" w:color="auto" w:fill="auto"/>
            <w:noWrap/>
            <w:vAlign w:val="bottom"/>
            <w:hideMark/>
          </w:tcPr>
          <w:p w14:paraId="5F3F5F16" w14:textId="77777777" w:rsidR="004B4B47" w:rsidRPr="00D55DA8" w:rsidRDefault="004B4B47" w:rsidP="004B4B47">
            <w:pPr>
              <w:jc w:val="center"/>
              <w:rPr>
                <w:sz w:val="20"/>
                <w:szCs w:val="20"/>
                <w:lang w:val="en-CA"/>
              </w:rPr>
            </w:pPr>
            <w:r w:rsidRPr="00D55DA8">
              <w:rPr>
                <w:sz w:val="20"/>
                <w:szCs w:val="20"/>
                <w:lang w:val="en-CA"/>
              </w:rPr>
              <w:t>(2.690)</w:t>
            </w:r>
          </w:p>
        </w:tc>
        <w:tc>
          <w:tcPr>
            <w:tcW w:w="1063" w:type="dxa"/>
            <w:tcBorders>
              <w:top w:val="nil"/>
              <w:left w:val="nil"/>
              <w:bottom w:val="nil"/>
              <w:right w:val="nil"/>
            </w:tcBorders>
            <w:shd w:val="clear" w:color="auto" w:fill="auto"/>
            <w:noWrap/>
            <w:vAlign w:val="bottom"/>
            <w:hideMark/>
          </w:tcPr>
          <w:p w14:paraId="1D2FCB4D" w14:textId="77777777" w:rsidR="004B4B47" w:rsidRPr="00D55DA8" w:rsidRDefault="004B4B47" w:rsidP="004B4B47">
            <w:pPr>
              <w:jc w:val="center"/>
              <w:rPr>
                <w:sz w:val="20"/>
                <w:szCs w:val="20"/>
                <w:lang w:val="en-CA"/>
              </w:rPr>
            </w:pPr>
            <w:r w:rsidRPr="00D55DA8">
              <w:rPr>
                <w:sz w:val="20"/>
                <w:szCs w:val="20"/>
                <w:lang w:val="en-CA"/>
              </w:rPr>
              <w:t>(3.790)</w:t>
            </w:r>
          </w:p>
        </w:tc>
        <w:tc>
          <w:tcPr>
            <w:tcW w:w="1233" w:type="dxa"/>
            <w:tcBorders>
              <w:top w:val="nil"/>
              <w:left w:val="nil"/>
              <w:bottom w:val="nil"/>
              <w:right w:val="nil"/>
            </w:tcBorders>
            <w:shd w:val="clear" w:color="auto" w:fill="auto"/>
            <w:noWrap/>
            <w:vAlign w:val="bottom"/>
            <w:hideMark/>
          </w:tcPr>
          <w:p w14:paraId="4D97098F" w14:textId="77777777" w:rsidR="004B4B47" w:rsidRPr="00D55DA8" w:rsidRDefault="004B4B47" w:rsidP="004B4B47">
            <w:pPr>
              <w:jc w:val="center"/>
              <w:rPr>
                <w:sz w:val="20"/>
                <w:szCs w:val="20"/>
                <w:lang w:val="en-CA"/>
              </w:rPr>
            </w:pPr>
            <w:r w:rsidRPr="00D55DA8">
              <w:rPr>
                <w:sz w:val="20"/>
                <w:szCs w:val="20"/>
                <w:lang w:val="en-CA"/>
              </w:rPr>
              <w:t>(5.925)</w:t>
            </w:r>
          </w:p>
        </w:tc>
      </w:tr>
      <w:tr w:rsidR="004B4B47" w:rsidRPr="00D55DA8" w14:paraId="042DA807" w14:textId="77777777" w:rsidTr="004B4B47">
        <w:trPr>
          <w:trHeight w:val="280"/>
        </w:trPr>
        <w:tc>
          <w:tcPr>
            <w:tcW w:w="2634" w:type="dxa"/>
            <w:tcBorders>
              <w:top w:val="nil"/>
              <w:left w:val="nil"/>
              <w:bottom w:val="nil"/>
              <w:right w:val="nil"/>
            </w:tcBorders>
            <w:shd w:val="clear" w:color="auto" w:fill="auto"/>
            <w:noWrap/>
            <w:vAlign w:val="bottom"/>
            <w:hideMark/>
          </w:tcPr>
          <w:p w14:paraId="34B10D09" w14:textId="77777777" w:rsidR="004B4B47" w:rsidRPr="00D55DA8" w:rsidRDefault="004B4B47" w:rsidP="004B4B47">
            <w:pPr>
              <w:rPr>
                <w:sz w:val="20"/>
                <w:szCs w:val="20"/>
                <w:lang w:val="en-CA"/>
              </w:rPr>
            </w:pPr>
            <w:r w:rsidRPr="00D55DA8">
              <w:rPr>
                <w:sz w:val="20"/>
                <w:szCs w:val="20"/>
                <w:lang w:val="en-CA"/>
              </w:rPr>
              <w:t>Honeymoon T-0</w:t>
            </w:r>
          </w:p>
        </w:tc>
        <w:tc>
          <w:tcPr>
            <w:tcW w:w="1063" w:type="dxa"/>
            <w:tcBorders>
              <w:top w:val="nil"/>
              <w:left w:val="nil"/>
              <w:bottom w:val="nil"/>
              <w:right w:val="nil"/>
            </w:tcBorders>
            <w:shd w:val="clear" w:color="auto" w:fill="auto"/>
            <w:noWrap/>
            <w:vAlign w:val="bottom"/>
            <w:hideMark/>
          </w:tcPr>
          <w:p w14:paraId="074DD556" w14:textId="77777777" w:rsidR="004B4B47" w:rsidRPr="00D55DA8" w:rsidRDefault="004B4B47" w:rsidP="004B4B47">
            <w:pPr>
              <w:jc w:val="center"/>
              <w:rPr>
                <w:sz w:val="20"/>
                <w:szCs w:val="20"/>
                <w:lang w:val="en-CA"/>
              </w:rPr>
            </w:pPr>
            <w:r w:rsidRPr="00D55DA8">
              <w:rPr>
                <w:sz w:val="20"/>
                <w:szCs w:val="20"/>
                <w:lang w:val="en-CA"/>
              </w:rPr>
              <w:t>13.62***</w:t>
            </w:r>
          </w:p>
        </w:tc>
        <w:tc>
          <w:tcPr>
            <w:tcW w:w="1627" w:type="dxa"/>
            <w:tcBorders>
              <w:top w:val="nil"/>
              <w:left w:val="nil"/>
              <w:bottom w:val="nil"/>
              <w:right w:val="nil"/>
            </w:tcBorders>
            <w:shd w:val="clear" w:color="auto" w:fill="auto"/>
            <w:noWrap/>
            <w:vAlign w:val="bottom"/>
            <w:hideMark/>
          </w:tcPr>
          <w:p w14:paraId="4FFDE728" w14:textId="77777777" w:rsidR="004B4B47" w:rsidRPr="00D55DA8" w:rsidRDefault="004B4B47" w:rsidP="004B4B47">
            <w:pPr>
              <w:jc w:val="center"/>
              <w:rPr>
                <w:sz w:val="20"/>
                <w:szCs w:val="20"/>
                <w:lang w:val="en-CA"/>
              </w:rPr>
            </w:pPr>
            <w:r w:rsidRPr="00D55DA8">
              <w:rPr>
                <w:sz w:val="20"/>
                <w:szCs w:val="20"/>
                <w:lang w:val="en-CA"/>
              </w:rPr>
              <w:t>13.68***</w:t>
            </w:r>
          </w:p>
        </w:tc>
        <w:tc>
          <w:tcPr>
            <w:tcW w:w="2090" w:type="dxa"/>
            <w:tcBorders>
              <w:top w:val="nil"/>
              <w:left w:val="nil"/>
              <w:bottom w:val="nil"/>
              <w:right w:val="nil"/>
            </w:tcBorders>
            <w:shd w:val="clear" w:color="auto" w:fill="auto"/>
            <w:noWrap/>
            <w:vAlign w:val="bottom"/>
            <w:hideMark/>
          </w:tcPr>
          <w:p w14:paraId="5A99DC18" w14:textId="77777777" w:rsidR="004B4B47" w:rsidRPr="00D55DA8" w:rsidRDefault="004B4B47" w:rsidP="004B4B47">
            <w:pPr>
              <w:jc w:val="center"/>
              <w:rPr>
                <w:sz w:val="20"/>
                <w:szCs w:val="20"/>
                <w:lang w:val="en-CA"/>
              </w:rPr>
            </w:pPr>
            <w:r w:rsidRPr="00D55DA8">
              <w:rPr>
                <w:sz w:val="20"/>
                <w:szCs w:val="20"/>
                <w:lang w:val="en-CA"/>
              </w:rPr>
              <w:t>14.36***</w:t>
            </w:r>
          </w:p>
        </w:tc>
        <w:tc>
          <w:tcPr>
            <w:tcW w:w="1063" w:type="dxa"/>
            <w:tcBorders>
              <w:top w:val="nil"/>
              <w:left w:val="nil"/>
              <w:bottom w:val="nil"/>
              <w:right w:val="nil"/>
            </w:tcBorders>
            <w:shd w:val="clear" w:color="auto" w:fill="auto"/>
            <w:noWrap/>
            <w:vAlign w:val="bottom"/>
            <w:hideMark/>
          </w:tcPr>
          <w:p w14:paraId="5B9D7A81" w14:textId="77777777" w:rsidR="004B4B47" w:rsidRPr="00D55DA8" w:rsidRDefault="004B4B47" w:rsidP="004B4B47">
            <w:pPr>
              <w:jc w:val="center"/>
              <w:rPr>
                <w:sz w:val="20"/>
                <w:szCs w:val="20"/>
                <w:lang w:val="en-CA"/>
              </w:rPr>
            </w:pPr>
            <w:r w:rsidRPr="00D55DA8">
              <w:rPr>
                <w:sz w:val="20"/>
                <w:szCs w:val="20"/>
                <w:lang w:val="en-CA"/>
              </w:rPr>
              <w:t>12.95***</w:t>
            </w:r>
          </w:p>
        </w:tc>
        <w:tc>
          <w:tcPr>
            <w:tcW w:w="1063" w:type="dxa"/>
            <w:tcBorders>
              <w:top w:val="nil"/>
              <w:left w:val="nil"/>
              <w:bottom w:val="nil"/>
              <w:right w:val="nil"/>
            </w:tcBorders>
            <w:shd w:val="clear" w:color="auto" w:fill="auto"/>
            <w:noWrap/>
            <w:vAlign w:val="bottom"/>
            <w:hideMark/>
          </w:tcPr>
          <w:p w14:paraId="43719562" w14:textId="77777777" w:rsidR="004B4B47" w:rsidRPr="00D55DA8" w:rsidRDefault="004B4B47" w:rsidP="004B4B47">
            <w:pPr>
              <w:jc w:val="center"/>
              <w:rPr>
                <w:sz w:val="20"/>
                <w:szCs w:val="20"/>
                <w:lang w:val="en-CA"/>
              </w:rPr>
            </w:pPr>
            <w:r w:rsidRPr="00D55DA8">
              <w:rPr>
                <w:sz w:val="20"/>
                <w:szCs w:val="20"/>
                <w:lang w:val="en-CA"/>
              </w:rPr>
              <w:t>15.41***</w:t>
            </w:r>
          </w:p>
        </w:tc>
        <w:tc>
          <w:tcPr>
            <w:tcW w:w="1233" w:type="dxa"/>
            <w:tcBorders>
              <w:top w:val="nil"/>
              <w:left w:val="nil"/>
              <w:bottom w:val="nil"/>
              <w:right w:val="nil"/>
            </w:tcBorders>
            <w:shd w:val="clear" w:color="auto" w:fill="auto"/>
            <w:noWrap/>
            <w:vAlign w:val="bottom"/>
            <w:hideMark/>
          </w:tcPr>
          <w:p w14:paraId="777CA75E" w14:textId="77777777" w:rsidR="004B4B47" w:rsidRPr="00D55DA8" w:rsidRDefault="004B4B47" w:rsidP="004B4B47">
            <w:pPr>
              <w:jc w:val="center"/>
              <w:rPr>
                <w:sz w:val="20"/>
                <w:szCs w:val="20"/>
                <w:lang w:val="en-CA"/>
              </w:rPr>
            </w:pPr>
          </w:p>
        </w:tc>
      </w:tr>
      <w:tr w:rsidR="004B4B47" w:rsidRPr="00D55DA8" w14:paraId="56EDFD2C" w14:textId="77777777" w:rsidTr="004B4B47">
        <w:trPr>
          <w:trHeight w:val="280"/>
        </w:trPr>
        <w:tc>
          <w:tcPr>
            <w:tcW w:w="2634" w:type="dxa"/>
            <w:tcBorders>
              <w:top w:val="nil"/>
              <w:left w:val="nil"/>
              <w:bottom w:val="nil"/>
              <w:right w:val="nil"/>
            </w:tcBorders>
            <w:shd w:val="clear" w:color="auto" w:fill="auto"/>
            <w:noWrap/>
            <w:vAlign w:val="bottom"/>
            <w:hideMark/>
          </w:tcPr>
          <w:p w14:paraId="6693D727"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50B1DF5D" w14:textId="77777777" w:rsidR="004B4B47" w:rsidRPr="00D55DA8" w:rsidRDefault="004B4B47" w:rsidP="004B4B47">
            <w:pPr>
              <w:jc w:val="center"/>
              <w:rPr>
                <w:sz w:val="20"/>
                <w:szCs w:val="20"/>
                <w:lang w:val="en-CA"/>
              </w:rPr>
            </w:pPr>
            <w:r w:rsidRPr="00D55DA8">
              <w:rPr>
                <w:sz w:val="20"/>
                <w:szCs w:val="20"/>
                <w:lang w:val="en-CA"/>
              </w:rPr>
              <w:t>(3.057)</w:t>
            </w:r>
          </w:p>
        </w:tc>
        <w:tc>
          <w:tcPr>
            <w:tcW w:w="1627" w:type="dxa"/>
            <w:tcBorders>
              <w:top w:val="nil"/>
              <w:left w:val="nil"/>
              <w:bottom w:val="nil"/>
              <w:right w:val="nil"/>
            </w:tcBorders>
            <w:shd w:val="clear" w:color="auto" w:fill="auto"/>
            <w:noWrap/>
            <w:vAlign w:val="bottom"/>
            <w:hideMark/>
          </w:tcPr>
          <w:p w14:paraId="52D2D7B6" w14:textId="77777777" w:rsidR="004B4B47" w:rsidRPr="00D55DA8" w:rsidRDefault="004B4B47" w:rsidP="004B4B47">
            <w:pPr>
              <w:jc w:val="center"/>
              <w:rPr>
                <w:sz w:val="20"/>
                <w:szCs w:val="20"/>
                <w:lang w:val="en-CA"/>
              </w:rPr>
            </w:pPr>
            <w:r w:rsidRPr="00D55DA8">
              <w:rPr>
                <w:sz w:val="20"/>
                <w:szCs w:val="20"/>
                <w:lang w:val="en-CA"/>
              </w:rPr>
              <w:t>(2.968)</w:t>
            </w:r>
          </w:p>
        </w:tc>
        <w:tc>
          <w:tcPr>
            <w:tcW w:w="2090" w:type="dxa"/>
            <w:tcBorders>
              <w:top w:val="nil"/>
              <w:left w:val="nil"/>
              <w:bottom w:val="nil"/>
              <w:right w:val="nil"/>
            </w:tcBorders>
            <w:shd w:val="clear" w:color="auto" w:fill="auto"/>
            <w:noWrap/>
            <w:vAlign w:val="bottom"/>
            <w:hideMark/>
          </w:tcPr>
          <w:p w14:paraId="7DAA54A7" w14:textId="77777777" w:rsidR="004B4B47" w:rsidRPr="00D55DA8" w:rsidRDefault="004B4B47" w:rsidP="004B4B47">
            <w:pPr>
              <w:jc w:val="center"/>
              <w:rPr>
                <w:sz w:val="20"/>
                <w:szCs w:val="20"/>
                <w:lang w:val="en-CA"/>
              </w:rPr>
            </w:pPr>
            <w:r w:rsidRPr="00D55DA8">
              <w:rPr>
                <w:sz w:val="20"/>
                <w:szCs w:val="20"/>
                <w:lang w:val="en-CA"/>
              </w:rPr>
              <w:t>(2.933)</w:t>
            </w:r>
          </w:p>
        </w:tc>
        <w:tc>
          <w:tcPr>
            <w:tcW w:w="1063" w:type="dxa"/>
            <w:tcBorders>
              <w:top w:val="nil"/>
              <w:left w:val="nil"/>
              <w:bottom w:val="nil"/>
              <w:right w:val="nil"/>
            </w:tcBorders>
            <w:shd w:val="clear" w:color="auto" w:fill="auto"/>
            <w:noWrap/>
            <w:vAlign w:val="bottom"/>
            <w:hideMark/>
          </w:tcPr>
          <w:p w14:paraId="0A7E8E52" w14:textId="77777777" w:rsidR="004B4B47" w:rsidRPr="00D55DA8" w:rsidRDefault="004B4B47" w:rsidP="004B4B47">
            <w:pPr>
              <w:jc w:val="center"/>
              <w:rPr>
                <w:sz w:val="20"/>
                <w:szCs w:val="20"/>
                <w:lang w:val="en-CA"/>
              </w:rPr>
            </w:pPr>
            <w:r w:rsidRPr="00D55DA8">
              <w:rPr>
                <w:sz w:val="20"/>
                <w:szCs w:val="20"/>
                <w:lang w:val="en-CA"/>
              </w:rPr>
              <w:t>(3.825)</w:t>
            </w:r>
          </w:p>
        </w:tc>
        <w:tc>
          <w:tcPr>
            <w:tcW w:w="1063" w:type="dxa"/>
            <w:tcBorders>
              <w:top w:val="nil"/>
              <w:left w:val="nil"/>
              <w:bottom w:val="nil"/>
              <w:right w:val="nil"/>
            </w:tcBorders>
            <w:shd w:val="clear" w:color="auto" w:fill="auto"/>
            <w:noWrap/>
            <w:vAlign w:val="bottom"/>
            <w:hideMark/>
          </w:tcPr>
          <w:p w14:paraId="342698CF" w14:textId="77777777" w:rsidR="004B4B47" w:rsidRPr="00D55DA8" w:rsidRDefault="004B4B47" w:rsidP="004B4B47">
            <w:pPr>
              <w:jc w:val="center"/>
              <w:rPr>
                <w:sz w:val="20"/>
                <w:szCs w:val="20"/>
                <w:lang w:val="en-CA"/>
              </w:rPr>
            </w:pPr>
            <w:r w:rsidRPr="00D55DA8">
              <w:rPr>
                <w:sz w:val="20"/>
                <w:szCs w:val="20"/>
                <w:lang w:val="en-CA"/>
              </w:rPr>
              <w:t>(4.371)</w:t>
            </w:r>
          </w:p>
        </w:tc>
        <w:tc>
          <w:tcPr>
            <w:tcW w:w="1233" w:type="dxa"/>
            <w:tcBorders>
              <w:top w:val="nil"/>
              <w:left w:val="nil"/>
              <w:bottom w:val="nil"/>
              <w:right w:val="nil"/>
            </w:tcBorders>
            <w:shd w:val="clear" w:color="auto" w:fill="auto"/>
            <w:noWrap/>
            <w:vAlign w:val="bottom"/>
            <w:hideMark/>
          </w:tcPr>
          <w:p w14:paraId="47C11FCE" w14:textId="77777777" w:rsidR="004B4B47" w:rsidRPr="00D55DA8" w:rsidRDefault="004B4B47" w:rsidP="004B4B47">
            <w:pPr>
              <w:jc w:val="center"/>
              <w:rPr>
                <w:sz w:val="20"/>
                <w:szCs w:val="20"/>
                <w:lang w:val="en-CA"/>
              </w:rPr>
            </w:pPr>
          </w:p>
        </w:tc>
      </w:tr>
      <w:tr w:rsidR="004B4B47" w:rsidRPr="00D55DA8" w14:paraId="32593E8A" w14:textId="77777777" w:rsidTr="004B4B47">
        <w:trPr>
          <w:trHeight w:val="280"/>
        </w:trPr>
        <w:tc>
          <w:tcPr>
            <w:tcW w:w="2634" w:type="dxa"/>
            <w:tcBorders>
              <w:top w:val="nil"/>
              <w:left w:val="nil"/>
              <w:bottom w:val="nil"/>
              <w:right w:val="nil"/>
            </w:tcBorders>
            <w:shd w:val="clear" w:color="auto" w:fill="auto"/>
            <w:noWrap/>
            <w:vAlign w:val="bottom"/>
            <w:hideMark/>
          </w:tcPr>
          <w:p w14:paraId="03166AF0" w14:textId="77777777" w:rsidR="004B4B47" w:rsidRPr="00D55DA8" w:rsidRDefault="004B4B47" w:rsidP="004B4B47">
            <w:pPr>
              <w:rPr>
                <w:sz w:val="20"/>
                <w:szCs w:val="20"/>
                <w:lang w:val="en-CA"/>
              </w:rPr>
            </w:pPr>
            <w:r w:rsidRPr="00D55DA8">
              <w:rPr>
                <w:sz w:val="20"/>
                <w:szCs w:val="20"/>
                <w:lang w:val="en-CA"/>
              </w:rPr>
              <w:t>Constitution T-4</w:t>
            </w:r>
          </w:p>
        </w:tc>
        <w:tc>
          <w:tcPr>
            <w:tcW w:w="1063" w:type="dxa"/>
            <w:tcBorders>
              <w:top w:val="nil"/>
              <w:left w:val="nil"/>
              <w:bottom w:val="nil"/>
              <w:right w:val="nil"/>
            </w:tcBorders>
            <w:shd w:val="clear" w:color="auto" w:fill="auto"/>
            <w:noWrap/>
            <w:vAlign w:val="bottom"/>
            <w:hideMark/>
          </w:tcPr>
          <w:p w14:paraId="0E112686" w14:textId="77777777" w:rsidR="004B4B47" w:rsidRPr="00D55DA8" w:rsidRDefault="004B4B47" w:rsidP="004B4B47">
            <w:pPr>
              <w:jc w:val="center"/>
              <w:rPr>
                <w:sz w:val="20"/>
                <w:szCs w:val="20"/>
                <w:lang w:val="en-CA"/>
              </w:rPr>
            </w:pPr>
            <w:r w:rsidRPr="00D55DA8">
              <w:rPr>
                <w:sz w:val="20"/>
                <w:szCs w:val="20"/>
                <w:lang w:val="en-CA"/>
              </w:rPr>
              <w:t>9.413*</w:t>
            </w:r>
          </w:p>
        </w:tc>
        <w:tc>
          <w:tcPr>
            <w:tcW w:w="1627" w:type="dxa"/>
            <w:tcBorders>
              <w:top w:val="nil"/>
              <w:left w:val="nil"/>
              <w:bottom w:val="nil"/>
              <w:right w:val="nil"/>
            </w:tcBorders>
            <w:shd w:val="clear" w:color="auto" w:fill="auto"/>
            <w:noWrap/>
            <w:vAlign w:val="bottom"/>
            <w:hideMark/>
          </w:tcPr>
          <w:p w14:paraId="42FF9209" w14:textId="77777777" w:rsidR="004B4B47" w:rsidRPr="00D55DA8" w:rsidRDefault="004B4B47" w:rsidP="004B4B47">
            <w:pPr>
              <w:jc w:val="center"/>
              <w:rPr>
                <w:sz w:val="20"/>
                <w:szCs w:val="20"/>
                <w:lang w:val="en-CA"/>
              </w:rPr>
            </w:pPr>
            <w:r w:rsidRPr="00D55DA8">
              <w:rPr>
                <w:sz w:val="20"/>
                <w:szCs w:val="20"/>
                <w:lang w:val="en-CA"/>
              </w:rPr>
              <w:t>9.674*</w:t>
            </w:r>
          </w:p>
        </w:tc>
        <w:tc>
          <w:tcPr>
            <w:tcW w:w="2090" w:type="dxa"/>
            <w:tcBorders>
              <w:top w:val="nil"/>
              <w:left w:val="nil"/>
              <w:bottom w:val="nil"/>
              <w:right w:val="nil"/>
            </w:tcBorders>
            <w:shd w:val="clear" w:color="auto" w:fill="auto"/>
            <w:noWrap/>
            <w:vAlign w:val="bottom"/>
            <w:hideMark/>
          </w:tcPr>
          <w:p w14:paraId="61924C51" w14:textId="77777777" w:rsidR="004B4B47" w:rsidRPr="00D55DA8" w:rsidRDefault="004B4B47" w:rsidP="004B4B47">
            <w:pPr>
              <w:jc w:val="center"/>
              <w:rPr>
                <w:sz w:val="20"/>
                <w:szCs w:val="20"/>
                <w:lang w:val="en-CA"/>
              </w:rPr>
            </w:pPr>
            <w:r w:rsidRPr="00D55DA8">
              <w:rPr>
                <w:sz w:val="20"/>
                <w:szCs w:val="20"/>
                <w:lang w:val="en-CA"/>
              </w:rPr>
              <w:t>8.906</w:t>
            </w:r>
          </w:p>
        </w:tc>
        <w:tc>
          <w:tcPr>
            <w:tcW w:w="1063" w:type="dxa"/>
            <w:tcBorders>
              <w:top w:val="nil"/>
              <w:left w:val="nil"/>
              <w:bottom w:val="nil"/>
              <w:right w:val="nil"/>
            </w:tcBorders>
            <w:shd w:val="clear" w:color="auto" w:fill="auto"/>
            <w:noWrap/>
            <w:vAlign w:val="bottom"/>
            <w:hideMark/>
          </w:tcPr>
          <w:p w14:paraId="4486B297" w14:textId="77777777" w:rsidR="004B4B47" w:rsidRPr="00D55DA8" w:rsidRDefault="004B4B47" w:rsidP="004B4B47">
            <w:pPr>
              <w:jc w:val="center"/>
              <w:rPr>
                <w:sz w:val="20"/>
                <w:szCs w:val="20"/>
                <w:lang w:val="en-CA"/>
              </w:rPr>
            </w:pPr>
            <w:r w:rsidRPr="00D55DA8">
              <w:rPr>
                <w:sz w:val="20"/>
                <w:szCs w:val="20"/>
                <w:lang w:val="en-CA"/>
              </w:rPr>
              <w:t>16.06***</w:t>
            </w:r>
          </w:p>
        </w:tc>
        <w:tc>
          <w:tcPr>
            <w:tcW w:w="1063" w:type="dxa"/>
            <w:tcBorders>
              <w:top w:val="nil"/>
              <w:left w:val="nil"/>
              <w:bottom w:val="nil"/>
              <w:right w:val="nil"/>
            </w:tcBorders>
            <w:shd w:val="clear" w:color="auto" w:fill="auto"/>
            <w:noWrap/>
            <w:vAlign w:val="bottom"/>
            <w:hideMark/>
          </w:tcPr>
          <w:p w14:paraId="7E7E2BA9"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495DE64F" w14:textId="77777777" w:rsidR="004B4B47" w:rsidRPr="00D55DA8" w:rsidRDefault="004B4B47" w:rsidP="004B4B47">
            <w:pPr>
              <w:jc w:val="center"/>
              <w:rPr>
                <w:sz w:val="20"/>
                <w:szCs w:val="20"/>
                <w:lang w:val="en-CA"/>
              </w:rPr>
            </w:pPr>
          </w:p>
        </w:tc>
      </w:tr>
      <w:tr w:rsidR="004B4B47" w:rsidRPr="00D55DA8" w14:paraId="58E98936" w14:textId="77777777" w:rsidTr="004B4B47">
        <w:trPr>
          <w:trHeight w:val="280"/>
        </w:trPr>
        <w:tc>
          <w:tcPr>
            <w:tcW w:w="2634" w:type="dxa"/>
            <w:tcBorders>
              <w:top w:val="nil"/>
              <w:left w:val="nil"/>
              <w:bottom w:val="nil"/>
              <w:right w:val="nil"/>
            </w:tcBorders>
            <w:shd w:val="clear" w:color="auto" w:fill="auto"/>
            <w:noWrap/>
            <w:vAlign w:val="bottom"/>
            <w:hideMark/>
          </w:tcPr>
          <w:p w14:paraId="24C105CE"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1C08893A" w14:textId="77777777" w:rsidR="004B4B47" w:rsidRPr="00D55DA8" w:rsidRDefault="004B4B47" w:rsidP="004B4B47">
            <w:pPr>
              <w:jc w:val="center"/>
              <w:rPr>
                <w:sz w:val="20"/>
                <w:szCs w:val="20"/>
                <w:lang w:val="en-CA"/>
              </w:rPr>
            </w:pPr>
            <w:r w:rsidRPr="00D55DA8">
              <w:rPr>
                <w:sz w:val="20"/>
                <w:szCs w:val="20"/>
                <w:lang w:val="en-CA"/>
              </w:rPr>
              <w:t>(5.628)</w:t>
            </w:r>
          </w:p>
        </w:tc>
        <w:tc>
          <w:tcPr>
            <w:tcW w:w="1627" w:type="dxa"/>
            <w:tcBorders>
              <w:top w:val="nil"/>
              <w:left w:val="nil"/>
              <w:bottom w:val="nil"/>
              <w:right w:val="nil"/>
            </w:tcBorders>
            <w:shd w:val="clear" w:color="auto" w:fill="auto"/>
            <w:noWrap/>
            <w:vAlign w:val="bottom"/>
            <w:hideMark/>
          </w:tcPr>
          <w:p w14:paraId="0E85444C" w14:textId="77777777" w:rsidR="004B4B47" w:rsidRPr="00D55DA8" w:rsidRDefault="004B4B47" w:rsidP="004B4B47">
            <w:pPr>
              <w:jc w:val="center"/>
              <w:rPr>
                <w:sz w:val="20"/>
                <w:szCs w:val="20"/>
                <w:lang w:val="en-CA"/>
              </w:rPr>
            </w:pPr>
            <w:r w:rsidRPr="00D55DA8">
              <w:rPr>
                <w:sz w:val="20"/>
                <w:szCs w:val="20"/>
                <w:lang w:val="en-CA"/>
              </w:rPr>
              <w:t>(5.481)</w:t>
            </w:r>
          </w:p>
        </w:tc>
        <w:tc>
          <w:tcPr>
            <w:tcW w:w="2090" w:type="dxa"/>
            <w:tcBorders>
              <w:top w:val="nil"/>
              <w:left w:val="nil"/>
              <w:bottom w:val="nil"/>
              <w:right w:val="nil"/>
            </w:tcBorders>
            <w:shd w:val="clear" w:color="auto" w:fill="auto"/>
            <w:noWrap/>
            <w:vAlign w:val="bottom"/>
            <w:hideMark/>
          </w:tcPr>
          <w:p w14:paraId="2999E35D" w14:textId="77777777" w:rsidR="004B4B47" w:rsidRPr="00D55DA8" w:rsidRDefault="004B4B47" w:rsidP="004B4B47">
            <w:pPr>
              <w:jc w:val="center"/>
              <w:rPr>
                <w:sz w:val="20"/>
                <w:szCs w:val="20"/>
                <w:lang w:val="en-CA"/>
              </w:rPr>
            </w:pPr>
            <w:r w:rsidRPr="00D55DA8">
              <w:rPr>
                <w:sz w:val="20"/>
                <w:szCs w:val="20"/>
                <w:lang w:val="en-CA"/>
              </w:rPr>
              <w:t>(5.433)</w:t>
            </w:r>
          </w:p>
        </w:tc>
        <w:tc>
          <w:tcPr>
            <w:tcW w:w="1063" w:type="dxa"/>
            <w:tcBorders>
              <w:top w:val="nil"/>
              <w:left w:val="nil"/>
              <w:bottom w:val="nil"/>
              <w:right w:val="nil"/>
            </w:tcBorders>
            <w:shd w:val="clear" w:color="auto" w:fill="auto"/>
            <w:noWrap/>
            <w:vAlign w:val="bottom"/>
            <w:hideMark/>
          </w:tcPr>
          <w:p w14:paraId="0FB432C4" w14:textId="77777777" w:rsidR="004B4B47" w:rsidRPr="00D55DA8" w:rsidRDefault="004B4B47" w:rsidP="004B4B47">
            <w:pPr>
              <w:jc w:val="center"/>
              <w:rPr>
                <w:sz w:val="20"/>
                <w:szCs w:val="20"/>
                <w:lang w:val="en-CA"/>
              </w:rPr>
            </w:pPr>
            <w:r w:rsidRPr="00D55DA8">
              <w:rPr>
                <w:sz w:val="20"/>
                <w:szCs w:val="20"/>
                <w:lang w:val="en-CA"/>
              </w:rPr>
              <w:t>(4.937)</w:t>
            </w:r>
          </w:p>
        </w:tc>
        <w:tc>
          <w:tcPr>
            <w:tcW w:w="1063" w:type="dxa"/>
            <w:tcBorders>
              <w:top w:val="nil"/>
              <w:left w:val="nil"/>
              <w:bottom w:val="nil"/>
              <w:right w:val="nil"/>
            </w:tcBorders>
            <w:shd w:val="clear" w:color="auto" w:fill="auto"/>
            <w:noWrap/>
            <w:vAlign w:val="bottom"/>
            <w:hideMark/>
          </w:tcPr>
          <w:p w14:paraId="0F0C43BA"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648EE4B9" w14:textId="77777777" w:rsidR="004B4B47" w:rsidRPr="00D55DA8" w:rsidRDefault="004B4B47" w:rsidP="004B4B47">
            <w:pPr>
              <w:jc w:val="center"/>
              <w:rPr>
                <w:sz w:val="20"/>
                <w:szCs w:val="20"/>
                <w:lang w:val="en-CA"/>
              </w:rPr>
            </w:pPr>
          </w:p>
        </w:tc>
      </w:tr>
      <w:tr w:rsidR="004B4B47" w:rsidRPr="00D55DA8" w14:paraId="5B4E5FB2" w14:textId="77777777" w:rsidTr="004B4B47">
        <w:trPr>
          <w:trHeight w:val="280"/>
        </w:trPr>
        <w:tc>
          <w:tcPr>
            <w:tcW w:w="2634" w:type="dxa"/>
            <w:tcBorders>
              <w:top w:val="nil"/>
              <w:left w:val="nil"/>
              <w:bottom w:val="nil"/>
              <w:right w:val="nil"/>
            </w:tcBorders>
            <w:shd w:val="clear" w:color="auto" w:fill="auto"/>
            <w:noWrap/>
            <w:vAlign w:val="bottom"/>
            <w:hideMark/>
          </w:tcPr>
          <w:p w14:paraId="1241CE10" w14:textId="77777777" w:rsidR="004B4B47" w:rsidRPr="00D55DA8" w:rsidRDefault="004B4B47" w:rsidP="004B4B47">
            <w:pPr>
              <w:rPr>
                <w:sz w:val="20"/>
                <w:szCs w:val="20"/>
                <w:lang w:val="en-CA"/>
              </w:rPr>
            </w:pPr>
            <w:r w:rsidRPr="00D55DA8">
              <w:rPr>
                <w:sz w:val="20"/>
                <w:szCs w:val="20"/>
                <w:lang w:val="en-CA"/>
              </w:rPr>
              <w:t>ENP</w:t>
            </w:r>
          </w:p>
        </w:tc>
        <w:tc>
          <w:tcPr>
            <w:tcW w:w="1063" w:type="dxa"/>
            <w:tcBorders>
              <w:top w:val="nil"/>
              <w:left w:val="nil"/>
              <w:bottom w:val="nil"/>
              <w:right w:val="nil"/>
            </w:tcBorders>
            <w:shd w:val="clear" w:color="auto" w:fill="auto"/>
            <w:noWrap/>
            <w:vAlign w:val="bottom"/>
            <w:hideMark/>
          </w:tcPr>
          <w:p w14:paraId="018AEF71" w14:textId="77777777" w:rsidR="004B4B47" w:rsidRPr="00D55DA8" w:rsidRDefault="004B4B47" w:rsidP="004B4B47">
            <w:pPr>
              <w:jc w:val="center"/>
              <w:rPr>
                <w:sz w:val="20"/>
                <w:szCs w:val="20"/>
                <w:lang w:val="en-CA"/>
              </w:rPr>
            </w:pPr>
            <w:r w:rsidRPr="00D55DA8">
              <w:rPr>
                <w:sz w:val="20"/>
                <w:szCs w:val="20"/>
                <w:lang w:val="en-CA"/>
              </w:rPr>
              <w:t>2.342</w:t>
            </w:r>
          </w:p>
        </w:tc>
        <w:tc>
          <w:tcPr>
            <w:tcW w:w="1627" w:type="dxa"/>
            <w:tcBorders>
              <w:top w:val="nil"/>
              <w:left w:val="nil"/>
              <w:bottom w:val="nil"/>
              <w:right w:val="nil"/>
            </w:tcBorders>
            <w:shd w:val="clear" w:color="auto" w:fill="auto"/>
            <w:noWrap/>
            <w:vAlign w:val="bottom"/>
            <w:hideMark/>
          </w:tcPr>
          <w:p w14:paraId="4A107B4C" w14:textId="77777777" w:rsidR="004B4B47" w:rsidRPr="00D55DA8" w:rsidRDefault="004B4B47" w:rsidP="004B4B47">
            <w:pPr>
              <w:jc w:val="center"/>
              <w:rPr>
                <w:sz w:val="20"/>
                <w:szCs w:val="20"/>
                <w:lang w:val="en-CA"/>
              </w:rPr>
            </w:pPr>
            <w:r w:rsidRPr="00D55DA8">
              <w:rPr>
                <w:sz w:val="20"/>
                <w:szCs w:val="20"/>
                <w:lang w:val="en-CA"/>
              </w:rPr>
              <w:t>-0.854</w:t>
            </w:r>
          </w:p>
        </w:tc>
        <w:tc>
          <w:tcPr>
            <w:tcW w:w="2090" w:type="dxa"/>
            <w:tcBorders>
              <w:top w:val="nil"/>
              <w:left w:val="nil"/>
              <w:bottom w:val="nil"/>
              <w:right w:val="nil"/>
            </w:tcBorders>
            <w:shd w:val="clear" w:color="auto" w:fill="auto"/>
            <w:noWrap/>
            <w:vAlign w:val="bottom"/>
            <w:hideMark/>
          </w:tcPr>
          <w:p w14:paraId="7556E3C1" w14:textId="77777777" w:rsidR="004B4B47" w:rsidRPr="00D55DA8" w:rsidRDefault="004B4B47" w:rsidP="004B4B47">
            <w:pPr>
              <w:jc w:val="center"/>
              <w:rPr>
                <w:sz w:val="20"/>
                <w:szCs w:val="20"/>
                <w:lang w:val="en-CA"/>
              </w:rPr>
            </w:pPr>
            <w:r w:rsidRPr="00D55DA8">
              <w:rPr>
                <w:sz w:val="20"/>
                <w:szCs w:val="20"/>
                <w:lang w:val="en-CA"/>
              </w:rPr>
              <w:t>1.582</w:t>
            </w:r>
          </w:p>
        </w:tc>
        <w:tc>
          <w:tcPr>
            <w:tcW w:w="1063" w:type="dxa"/>
            <w:tcBorders>
              <w:top w:val="nil"/>
              <w:left w:val="nil"/>
              <w:bottom w:val="nil"/>
              <w:right w:val="nil"/>
            </w:tcBorders>
            <w:shd w:val="clear" w:color="auto" w:fill="auto"/>
            <w:noWrap/>
            <w:vAlign w:val="bottom"/>
            <w:hideMark/>
          </w:tcPr>
          <w:p w14:paraId="216C63EB" w14:textId="77777777" w:rsidR="004B4B47" w:rsidRPr="00D55DA8" w:rsidRDefault="004B4B47" w:rsidP="004B4B47">
            <w:pPr>
              <w:jc w:val="center"/>
              <w:rPr>
                <w:sz w:val="20"/>
                <w:szCs w:val="20"/>
                <w:lang w:val="en-CA"/>
              </w:rPr>
            </w:pPr>
            <w:r w:rsidRPr="00D55DA8">
              <w:rPr>
                <w:sz w:val="20"/>
                <w:szCs w:val="20"/>
                <w:lang w:val="en-CA"/>
              </w:rPr>
              <w:t>2.351</w:t>
            </w:r>
          </w:p>
        </w:tc>
        <w:tc>
          <w:tcPr>
            <w:tcW w:w="1063" w:type="dxa"/>
            <w:tcBorders>
              <w:top w:val="nil"/>
              <w:left w:val="nil"/>
              <w:bottom w:val="nil"/>
              <w:right w:val="nil"/>
            </w:tcBorders>
            <w:shd w:val="clear" w:color="auto" w:fill="auto"/>
            <w:noWrap/>
            <w:vAlign w:val="bottom"/>
            <w:hideMark/>
          </w:tcPr>
          <w:p w14:paraId="5641EB23" w14:textId="77777777" w:rsidR="004B4B47" w:rsidRPr="00D55DA8" w:rsidRDefault="004B4B47" w:rsidP="004B4B47">
            <w:pPr>
              <w:jc w:val="center"/>
              <w:rPr>
                <w:sz w:val="20"/>
                <w:szCs w:val="20"/>
                <w:lang w:val="en-CA"/>
              </w:rPr>
            </w:pPr>
            <w:r w:rsidRPr="00D55DA8">
              <w:rPr>
                <w:sz w:val="20"/>
                <w:szCs w:val="20"/>
                <w:lang w:val="en-CA"/>
              </w:rPr>
              <w:t>1.566</w:t>
            </w:r>
          </w:p>
        </w:tc>
        <w:tc>
          <w:tcPr>
            <w:tcW w:w="1233" w:type="dxa"/>
            <w:tcBorders>
              <w:top w:val="nil"/>
              <w:left w:val="nil"/>
              <w:bottom w:val="nil"/>
              <w:right w:val="nil"/>
            </w:tcBorders>
            <w:shd w:val="clear" w:color="auto" w:fill="auto"/>
            <w:noWrap/>
            <w:vAlign w:val="bottom"/>
            <w:hideMark/>
          </w:tcPr>
          <w:p w14:paraId="39E68378" w14:textId="77777777" w:rsidR="004B4B47" w:rsidRPr="00D55DA8" w:rsidRDefault="004B4B47" w:rsidP="004B4B47">
            <w:pPr>
              <w:jc w:val="center"/>
              <w:rPr>
                <w:sz w:val="20"/>
                <w:szCs w:val="20"/>
                <w:lang w:val="en-CA"/>
              </w:rPr>
            </w:pPr>
            <w:r w:rsidRPr="00D55DA8">
              <w:rPr>
                <w:sz w:val="20"/>
                <w:szCs w:val="20"/>
                <w:lang w:val="en-CA"/>
              </w:rPr>
              <w:t>-0.418</w:t>
            </w:r>
          </w:p>
        </w:tc>
      </w:tr>
      <w:tr w:rsidR="004B4B47" w:rsidRPr="00D55DA8" w14:paraId="7BC10499" w14:textId="77777777" w:rsidTr="004B4B47">
        <w:trPr>
          <w:trHeight w:val="280"/>
        </w:trPr>
        <w:tc>
          <w:tcPr>
            <w:tcW w:w="2634" w:type="dxa"/>
            <w:tcBorders>
              <w:top w:val="nil"/>
              <w:left w:val="nil"/>
              <w:bottom w:val="nil"/>
              <w:right w:val="nil"/>
            </w:tcBorders>
            <w:shd w:val="clear" w:color="auto" w:fill="auto"/>
            <w:noWrap/>
            <w:vAlign w:val="bottom"/>
            <w:hideMark/>
          </w:tcPr>
          <w:p w14:paraId="68BA05FB"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4384519D" w14:textId="77777777" w:rsidR="004B4B47" w:rsidRPr="00D55DA8" w:rsidRDefault="004B4B47" w:rsidP="004B4B47">
            <w:pPr>
              <w:jc w:val="center"/>
              <w:rPr>
                <w:sz w:val="20"/>
                <w:szCs w:val="20"/>
                <w:lang w:val="en-CA"/>
              </w:rPr>
            </w:pPr>
            <w:r w:rsidRPr="00D55DA8">
              <w:rPr>
                <w:sz w:val="20"/>
                <w:szCs w:val="20"/>
                <w:lang w:val="en-CA"/>
              </w:rPr>
              <w:t>(1.938)</w:t>
            </w:r>
          </w:p>
        </w:tc>
        <w:tc>
          <w:tcPr>
            <w:tcW w:w="1627" w:type="dxa"/>
            <w:tcBorders>
              <w:top w:val="nil"/>
              <w:left w:val="nil"/>
              <w:bottom w:val="nil"/>
              <w:right w:val="nil"/>
            </w:tcBorders>
            <w:shd w:val="clear" w:color="auto" w:fill="auto"/>
            <w:noWrap/>
            <w:vAlign w:val="bottom"/>
            <w:hideMark/>
          </w:tcPr>
          <w:p w14:paraId="463BCF4C" w14:textId="77777777" w:rsidR="004B4B47" w:rsidRPr="00D55DA8" w:rsidRDefault="004B4B47" w:rsidP="004B4B47">
            <w:pPr>
              <w:jc w:val="center"/>
              <w:rPr>
                <w:sz w:val="20"/>
                <w:szCs w:val="20"/>
                <w:lang w:val="en-CA"/>
              </w:rPr>
            </w:pPr>
            <w:r w:rsidRPr="00D55DA8">
              <w:rPr>
                <w:sz w:val="20"/>
                <w:szCs w:val="20"/>
                <w:lang w:val="en-CA"/>
              </w:rPr>
              <w:t>(2.490)</w:t>
            </w:r>
          </w:p>
        </w:tc>
        <w:tc>
          <w:tcPr>
            <w:tcW w:w="2090" w:type="dxa"/>
            <w:tcBorders>
              <w:top w:val="nil"/>
              <w:left w:val="nil"/>
              <w:bottom w:val="nil"/>
              <w:right w:val="nil"/>
            </w:tcBorders>
            <w:shd w:val="clear" w:color="auto" w:fill="auto"/>
            <w:noWrap/>
            <w:vAlign w:val="bottom"/>
            <w:hideMark/>
          </w:tcPr>
          <w:p w14:paraId="7F8C7996" w14:textId="77777777" w:rsidR="004B4B47" w:rsidRPr="00D55DA8" w:rsidRDefault="004B4B47" w:rsidP="004B4B47">
            <w:pPr>
              <w:jc w:val="center"/>
              <w:rPr>
                <w:sz w:val="20"/>
                <w:szCs w:val="20"/>
                <w:lang w:val="en-CA"/>
              </w:rPr>
            </w:pPr>
            <w:r w:rsidRPr="00D55DA8">
              <w:rPr>
                <w:sz w:val="20"/>
                <w:szCs w:val="20"/>
                <w:lang w:val="en-CA"/>
              </w:rPr>
              <w:t>(1.940)</w:t>
            </w:r>
          </w:p>
        </w:tc>
        <w:tc>
          <w:tcPr>
            <w:tcW w:w="1063" w:type="dxa"/>
            <w:tcBorders>
              <w:top w:val="nil"/>
              <w:left w:val="nil"/>
              <w:bottom w:val="nil"/>
              <w:right w:val="nil"/>
            </w:tcBorders>
            <w:shd w:val="clear" w:color="auto" w:fill="auto"/>
            <w:noWrap/>
            <w:vAlign w:val="bottom"/>
            <w:hideMark/>
          </w:tcPr>
          <w:p w14:paraId="4B216DAC" w14:textId="77777777" w:rsidR="004B4B47" w:rsidRPr="00D55DA8" w:rsidRDefault="004B4B47" w:rsidP="004B4B47">
            <w:pPr>
              <w:jc w:val="center"/>
              <w:rPr>
                <w:sz w:val="20"/>
                <w:szCs w:val="20"/>
                <w:lang w:val="en-CA"/>
              </w:rPr>
            </w:pPr>
            <w:r w:rsidRPr="00D55DA8">
              <w:rPr>
                <w:sz w:val="20"/>
                <w:szCs w:val="20"/>
                <w:lang w:val="en-CA"/>
              </w:rPr>
              <w:t>(4.551)</w:t>
            </w:r>
          </w:p>
        </w:tc>
        <w:tc>
          <w:tcPr>
            <w:tcW w:w="1063" w:type="dxa"/>
            <w:tcBorders>
              <w:top w:val="nil"/>
              <w:left w:val="nil"/>
              <w:bottom w:val="nil"/>
              <w:right w:val="nil"/>
            </w:tcBorders>
            <w:shd w:val="clear" w:color="auto" w:fill="auto"/>
            <w:noWrap/>
            <w:vAlign w:val="bottom"/>
            <w:hideMark/>
          </w:tcPr>
          <w:p w14:paraId="5C7934D4" w14:textId="77777777" w:rsidR="004B4B47" w:rsidRPr="00D55DA8" w:rsidRDefault="004B4B47" w:rsidP="004B4B47">
            <w:pPr>
              <w:jc w:val="center"/>
              <w:rPr>
                <w:sz w:val="20"/>
                <w:szCs w:val="20"/>
                <w:lang w:val="en-CA"/>
              </w:rPr>
            </w:pPr>
            <w:r w:rsidRPr="00D55DA8">
              <w:rPr>
                <w:sz w:val="20"/>
                <w:szCs w:val="20"/>
                <w:lang w:val="en-CA"/>
              </w:rPr>
              <w:t>(2.985)</w:t>
            </w:r>
          </w:p>
        </w:tc>
        <w:tc>
          <w:tcPr>
            <w:tcW w:w="1233" w:type="dxa"/>
            <w:tcBorders>
              <w:top w:val="nil"/>
              <w:left w:val="nil"/>
              <w:bottom w:val="nil"/>
              <w:right w:val="nil"/>
            </w:tcBorders>
            <w:shd w:val="clear" w:color="auto" w:fill="auto"/>
            <w:noWrap/>
            <w:vAlign w:val="bottom"/>
            <w:hideMark/>
          </w:tcPr>
          <w:p w14:paraId="30EC7E96" w14:textId="77777777" w:rsidR="004B4B47" w:rsidRPr="00D55DA8" w:rsidRDefault="004B4B47" w:rsidP="004B4B47">
            <w:pPr>
              <w:jc w:val="center"/>
              <w:rPr>
                <w:sz w:val="20"/>
                <w:szCs w:val="20"/>
                <w:lang w:val="en-CA"/>
              </w:rPr>
            </w:pPr>
            <w:r w:rsidRPr="00D55DA8">
              <w:rPr>
                <w:sz w:val="20"/>
                <w:szCs w:val="20"/>
                <w:lang w:val="en-CA"/>
              </w:rPr>
              <w:t>(5.149)</w:t>
            </w:r>
          </w:p>
        </w:tc>
      </w:tr>
      <w:tr w:rsidR="004B4B47" w:rsidRPr="00D55DA8" w14:paraId="17466941" w14:textId="77777777" w:rsidTr="004B4B47">
        <w:trPr>
          <w:trHeight w:val="280"/>
        </w:trPr>
        <w:tc>
          <w:tcPr>
            <w:tcW w:w="2634" w:type="dxa"/>
            <w:tcBorders>
              <w:top w:val="nil"/>
              <w:left w:val="nil"/>
              <w:bottom w:val="nil"/>
              <w:right w:val="nil"/>
            </w:tcBorders>
            <w:shd w:val="clear" w:color="auto" w:fill="auto"/>
            <w:noWrap/>
            <w:vAlign w:val="bottom"/>
            <w:hideMark/>
          </w:tcPr>
          <w:p w14:paraId="36DA660E" w14:textId="77777777" w:rsidR="004B4B47" w:rsidRPr="00D55DA8" w:rsidRDefault="004B4B47" w:rsidP="004B4B47">
            <w:pPr>
              <w:rPr>
                <w:sz w:val="20"/>
                <w:szCs w:val="20"/>
                <w:lang w:val="en-CA"/>
              </w:rPr>
            </w:pPr>
            <w:r w:rsidRPr="00D55DA8">
              <w:rPr>
                <w:sz w:val="20"/>
                <w:szCs w:val="20"/>
                <w:lang w:val="en-CA"/>
              </w:rPr>
              <w:t xml:space="preserve">Months since last election </w:t>
            </w:r>
          </w:p>
        </w:tc>
        <w:tc>
          <w:tcPr>
            <w:tcW w:w="1063" w:type="dxa"/>
            <w:tcBorders>
              <w:top w:val="nil"/>
              <w:left w:val="nil"/>
              <w:bottom w:val="nil"/>
              <w:right w:val="nil"/>
            </w:tcBorders>
            <w:shd w:val="clear" w:color="auto" w:fill="auto"/>
            <w:noWrap/>
            <w:vAlign w:val="bottom"/>
            <w:hideMark/>
          </w:tcPr>
          <w:p w14:paraId="738A0651" w14:textId="77777777" w:rsidR="004B4B47" w:rsidRPr="00D55DA8" w:rsidRDefault="004B4B47" w:rsidP="004B4B47">
            <w:pPr>
              <w:jc w:val="center"/>
              <w:rPr>
                <w:sz w:val="20"/>
                <w:szCs w:val="20"/>
                <w:lang w:val="en-CA"/>
              </w:rPr>
            </w:pPr>
            <w:r w:rsidRPr="00D55DA8">
              <w:rPr>
                <w:sz w:val="20"/>
                <w:szCs w:val="20"/>
                <w:lang w:val="en-CA"/>
              </w:rPr>
              <w:t>0.0926</w:t>
            </w:r>
          </w:p>
        </w:tc>
        <w:tc>
          <w:tcPr>
            <w:tcW w:w="1627" w:type="dxa"/>
            <w:tcBorders>
              <w:top w:val="nil"/>
              <w:left w:val="nil"/>
              <w:bottom w:val="nil"/>
              <w:right w:val="nil"/>
            </w:tcBorders>
            <w:shd w:val="clear" w:color="auto" w:fill="auto"/>
            <w:noWrap/>
            <w:vAlign w:val="bottom"/>
            <w:hideMark/>
          </w:tcPr>
          <w:p w14:paraId="11214C76" w14:textId="77777777" w:rsidR="004B4B47" w:rsidRPr="00D55DA8" w:rsidRDefault="004B4B47" w:rsidP="004B4B47">
            <w:pPr>
              <w:jc w:val="center"/>
              <w:rPr>
                <w:sz w:val="20"/>
                <w:szCs w:val="20"/>
                <w:lang w:val="en-CA"/>
              </w:rPr>
            </w:pPr>
            <w:r w:rsidRPr="00D55DA8">
              <w:rPr>
                <w:sz w:val="20"/>
                <w:szCs w:val="20"/>
                <w:lang w:val="en-CA"/>
              </w:rPr>
              <w:t>0.0752</w:t>
            </w:r>
          </w:p>
        </w:tc>
        <w:tc>
          <w:tcPr>
            <w:tcW w:w="2090" w:type="dxa"/>
            <w:tcBorders>
              <w:top w:val="nil"/>
              <w:left w:val="nil"/>
              <w:bottom w:val="nil"/>
              <w:right w:val="nil"/>
            </w:tcBorders>
            <w:shd w:val="clear" w:color="auto" w:fill="auto"/>
            <w:noWrap/>
            <w:vAlign w:val="bottom"/>
            <w:hideMark/>
          </w:tcPr>
          <w:p w14:paraId="457F083C" w14:textId="77777777" w:rsidR="004B4B47" w:rsidRPr="00D55DA8" w:rsidRDefault="004B4B47" w:rsidP="004B4B47">
            <w:pPr>
              <w:jc w:val="center"/>
              <w:rPr>
                <w:sz w:val="20"/>
                <w:szCs w:val="20"/>
                <w:lang w:val="en-CA"/>
              </w:rPr>
            </w:pPr>
            <w:r w:rsidRPr="00D55DA8">
              <w:rPr>
                <w:sz w:val="20"/>
                <w:szCs w:val="20"/>
                <w:lang w:val="en-CA"/>
              </w:rPr>
              <w:t>0.0922</w:t>
            </w:r>
          </w:p>
        </w:tc>
        <w:tc>
          <w:tcPr>
            <w:tcW w:w="1063" w:type="dxa"/>
            <w:tcBorders>
              <w:top w:val="nil"/>
              <w:left w:val="nil"/>
              <w:bottom w:val="nil"/>
              <w:right w:val="nil"/>
            </w:tcBorders>
            <w:shd w:val="clear" w:color="auto" w:fill="auto"/>
            <w:noWrap/>
            <w:vAlign w:val="bottom"/>
            <w:hideMark/>
          </w:tcPr>
          <w:p w14:paraId="356BB692" w14:textId="77777777" w:rsidR="004B4B47" w:rsidRPr="00D55DA8" w:rsidRDefault="004B4B47" w:rsidP="004B4B47">
            <w:pPr>
              <w:jc w:val="center"/>
              <w:rPr>
                <w:sz w:val="20"/>
                <w:szCs w:val="20"/>
                <w:lang w:val="en-CA"/>
              </w:rPr>
            </w:pPr>
            <w:r w:rsidRPr="00D55DA8">
              <w:rPr>
                <w:sz w:val="20"/>
                <w:szCs w:val="20"/>
                <w:lang w:val="en-CA"/>
              </w:rPr>
              <w:t>0.352***</w:t>
            </w:r>
          </w:p>
        </w:tc>
        <w:tc>
          <w:tcPr>
            <w:tcW w:w="1063" w:type="dxa"/>
            <w:tcBorders>
              <w:top w:val="nil"/>
              <w:left w:val="nil"/>
              <w:bottom w:val="nil"/>
              <w:right w:val="nil"/>
            </w:tcBorders>
            <w:shd w:val="clear" w:color="auto" w:fill="auto"/>
            <w:noWrap/>
            <w:vAlign w:val="bottom"/>
            <w:hideMark/>
          </w:tcPr>
          <w:p w14:paraId="0047D18A" w14:textId="77777777" w:rsidR="004B4B47" w:rsidRPr="00D55DA8" w:rsidRDefault="004B4B47" w:rsidP="004B4B47">
            <w:pPr>
              <w:jc w:val="center"/>
              <w:rPr>
                <w:sz w:val="20"/>
                <w:szCs w:val="20"/>
                <w:lang w:val="en-CA"/>
              </w:rPr>
            </w:pPr>
            <w:r w:rsidRPr="00D55DA8">
              <w:rPr>
                <w:sz w:val="20"/>
                <w:szCs w:val="20"/>
                <w:lang w:val="en-CA"/>
              </w:rPr>
              <w:t>-0.109</w:t>
            </w:r>
          </w:p>
        </w:tc>
        <w:tc>
          <w:tcPr>
            <w:tcW w:w="1233" w:type="dxa"/>
            <w:tcBorders>
              <w:top w:val="nil"/>
              <w:left w:val="nil"/>
              <w:bottom w:val="nil"/>
              <w:right w:val="nil"/>
            </w:tcBorders>
            <w:shd w:val="clear" w:color="auto" w:fill="auto"/>
            <w:noWrap/>
            <w:vAlign w:val="bottom"/>
            <w:hideMark/>
          </w:tcPr>
          <w:p w14:paraId="5E3E4E15" w14:textId="77777777" w:rsidR="004B4B47" w:rsidRPr="00D55DA8" w:rsidRDefault="004B4B47" w:rsidP="004B4B47">
            <w:pPr>
              <w:jc w:val="center"/>
              <w:rPr>
                <w:sz w:val="20"/>
                <w:szCs w:val="20"/>
                <w:lang w:val="en-CA"/>
              </w:rPr>
            </w:pPr>
            <w:r w:rsidRPr="00D55DA8">
              <w:rPr>
                <w:sz w:val="20"/>
                <w:szCs w:val="20"/>
                <w:lang w:val="en-CA"/>
              </w:rPr>
              <w:t>-0.0185</w:t>
            </w:r>
          </w:p>
        </w:tc>
      </w:tr>
      <w:tr w:rsidR="004B4B47" w:rsidRPr="00D55DA8" w14:paraId="068CB70B" w14:textId="77777777" w:rsidTr="004B4B47">
        <w:trPr>
          <w:trHeight w:val="280"/>
        </w:trPr>
        <w:tc>
          <w:tcPr>
            <w:tcW w:w="2634" w:type="dxa"/>
            <w:tcBorders>
              <w:top w:val="nil"/>
              <w:left w:val="nil"/>
              <w:bottom w:val="nil"/>
              <w:right w:val="nil"/>
            </w:tcBorders>
            <w:shd w:val="clear" w:color="auto" w:fill="auto"/>
            <w:noWrap/>
            <w:vAlign w:val="bottom"/>
            <w:hideMark/>
          </w:tcPr>
          <w:p w14:paraId="03409A84"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60745A65" w14:textId="77777777" w:rsidR="004B4B47" w:rsidRPr="00D55DA8" w:rsidRDefault="004B4B47" w:rsidP="004B4B47">
            <w:pPr>
              <w:jc w:val="center"/>
              <w:rPr>
                <w:sz w:val="20"/>
                <w:szCs w:val="20"/>
                <w:lang w:val="en-CA"/>
              </w:rPr>
            </w:pPr>
            <w:r w:rsidRPr="00D55DA8">
              <w:rPr>
                <w:sz w:val="20"/>
                <w:szCs w:val="20"/>
                <w:lang w:val="en-CA"/>
              </w:rPr>
              <w:t>(0.0598)</w:t>
            </w:r>
          </w:p>
        </w:tc>
        <w:tc>
          <w:tcPr>
            <w:tcW w:w="1627" w:type="dxa"/>
            <w:tcBorders>
              <w:top w:val="nil"/>
              <w:left w:val="nil"/>
              <w:bottom w:val="nil"/>
              <w:right w:val="nil"/>
            </w:tcBorders>
            <w:shd w:val="clear" w:color="auto" w:fill="auto"/>
            <w:noWrap/>
            <w:vAlign w:val="bottom"/>
            <w:hideMark/>
          </w:tcPr>
          <w:p w14:paraId="6ABCC77B" w14:textId="77777777" w:rsidR="004B4B47" w:rsidRPr="00D55DA8" w:rsidRDefault="004B4B47" w:rsidP="004B4B47">
            <w:pPr>
              <w:jc w:val="center"/>
              <w:rPr>
                <w:sz w:val="20"/>
                <w:szCs w:val="20"/>
                <w:lang w:val="en-CA"/>
              </w:rPr>
            </w:pPr>
            <w:r w:rsidRPr="00D55DA8">
              <w:rPr>
                <w:sz w:val="20"/>
                <w:szCs w:val="20"/>
                <w:lang w:val="en-CA"/>
              </w:rPr>
              <w:t>(0.0581)</w:t>
            </w:r>
          </w:p>
        </w:tc>
        <w:tc>
          <w:tcPr>
            <w:tcW w:w="2090" w:type="dxa"/>
            <w:tcBorders>
              <w:top w:val="nil"/>
              <w:left w:val="nil"/>
              <w:bottom w:val="nil"/>
              <w:right w:val="nil"/>
            </w:tcBorders>
            <w:shd w:val="clear" w:color="auto" w:fill="auto"/>
            <w:noWrap/>
            <w:vAlign w:val="bottom"/>
            <w:hideMark/>
          </w:tcPr>
          <w:p w14:paraId="673DB503" w14:textId="77777777" w:rsidR="004B4B47" w:rsidRPr="00D55DA8" w:rsidRDefault="004B4B47" w:rsidP="004B4B47">
            <w:pPr>
              <w:jc w:val="center"/>
              <w:rPr>
                <w:sz w:val="20"/>
                <w:szCs w:val="20"/>
                <w:lang w:val="en-CA"/>
              </w:rPr>
            </w:pPr>
            <w:r w:rsidRPr="00D55DA8">
              <w:rPr>
                <w:sz w:val="20"/>
                <w:szCs w:val="20"/>
                <w:lang w:val="en-CA"/>
              </w:rPr>
              <w:t>(0.0573)</w:t>
            </w:r>
          </w:p>
        </w:tc>
        <w:tc>
          <w:tcPr>
            <w:tcW w:w="1063" w:type="dxa"/>
            <w:tcBorders>
              <w:top w:val="nil"/>
              <w:left w:val="nil"/>
              <w:bottom w:val="nil"/>
              <w:right w:val="nil"/>
            </w:tcBorders>
            <w:shd w:val="clear" w:color="auto" w:fill="auto"/>
            <w:noWrap/>
            <w:vAlign w:val="bottom"/>
            <w:hideMark/>
          </w:tcPr>
          <w:p w14:paraId="4556338B" w14:textId="77777777" w:rsidR="004B4B47" w:rsidRPr="00D55DA8" w:rsidRDefault="004B4B47" w:rsidP="004B4B47">
            <w:pPr>
              <w:jc w:val="center"/>
              <w:rPr>
                <w:sz w:val="20"/>
                <w:szCs w:val="20"/>
                <w:lang w:val="en-CA"/>
              </w:rPr>
            </w:pPr>
            <w:r w:rsidRPr="00D55DA8">
              <w:rPr>
                <w:sz w:val="20"/>
                <w:szCs w:val="20"/>
                <w:lang w:val="en-CA"/>
              </w:rPr>
              <w:t>(0.0878)</w:t>
            </w:r>
          </w:p>
        </w:tc>
        <w:tc>
          <w:tcPr>
            <w:tcW w:w="1063" w:type="dxa"/>
            <w:tcBorders>
              <w:top w:val="nil"/>
              <w:left w:val="nil"/>
              <w:bottom w:val="nil"/>
              <w:right w:val="nil"/>
            </w:tcBorders>
            <w:shd w:val="clear" w:color="auto" w:fill="auto"/>
            <w:noWrap/>
            <w:vAlign w:val="bottom"/>
            <w:hideMark/>
          </w:tcPr>
          <w:p w14:paraId="17043437" w14:textId="77777777" w:rsidR="004B4B47" w:rsidRPr="00D55DA8" w:rsidRDefault="004B4B47" w:rsidP="004B4B47">
            <w:pPr>
              <w:jc w:val="center"/>
              <w:rPr>
                <w:sz w:val="20"/>
                <w:szCs w:val="20"/>
                <w:lang w:val="en-CA"/>
              </w:rPr>
            </w:pPr>
            <w:r w:rsidRPr="00D55DA8">
              <w:rPr>
                <w:sz w:val="20"/>
                <w:szCs w:val="20"/>
                <w:lang w:val="en-CA"/>
              </w:rPr>
              <w:t>(0.0797)</w:t>
            </w:r>
          </w:p>
        </w:tc>
        <w:tc>
          <w:tcPr>
            <w:tcW w:w="1233" w:type="dxa"/>
            <w:tcBorders>
              <w:top w:val="nil"/>
              <w:left w:val="nil"/>
              <w:bottom w:val="nil"/>
              <w:right w:val="nil"/>
            </w:tcBorders>
            <w:shd w:val="clear" w:color="auto" w:fill="auto"/>
            <w:noWrap/>
            <w:vAlign w:val="bottom"/>
            <w:hideMark/>
          </w:tcPr>
          <w:p w14:paraId="1753D7DB" w14:textId="77777777" w:rsidR="004B4B47" w:rsidRPr="00D55DA8" w:rsidRDefault="004B4B47" w:rsidP="004B4B47">
            <w:pPr>
              <w:jc w:val="center"/>
              <w:rPr>
                <w:sz w:val="20"/>
                <w:szCs w:val="20"/>
                <w:lang w:val="en-CA"/>
              </w:rPr>
            </w:pPr>
            <w:r w:rsidRPr="00D55DA8">
              <w:rPr>
                <w:sz w:val="20"/>
                <w:szCs w:val="20"/>
                <w:lang w:val="en-CA"/>
              </w:rPr>
              <w:t>(0.0977)</w:t>
            </w:r>
          </w:p>
        </w:tc>
      </w:tr>
      <w:tr w:rsidR="004B4B47" w:rsidRPr="00D55DA8" w14:paraId="250B9618" w14:textId="77777777" w:rsidTr="004B4B47">
        <w:trPr>
          <w:trHeight w:val="280"/>
        </w:trPr>
        <w:tc>
          <w:tcPr>
            <w:tcW w:w="2634" w:type="dxa"/>
            <w:tcBorders>
              <w:top w:val="nil"/>
              <w:left w:val="nil"/>
              <w:bottom w:val="nil"/>
              <w:right w:val="nil"/>
            </w:tcBorders>
            <w:shd w:val="clear" w:color="auto" w:fill="auto"/>
            <w:noWrap/>
            <w:vAlign w:val="bottom"/>
            <w:hideMark/>
          </w:tcPr>
          <w:p w14:paraId="5F56C33D" w14:textId="77777777" w:rsidR="004B4B47" w:rsidRPr="00D55DA8" w:rsidRDefault="004B4B47" w:rsidP="004B4B47">
            <w:pPr>
              <w:rPr>
                <w:sz w:val="20"/>
                <w:szCs w:val="20"/>
                <w:lang w:val="en-CA"/>
              </w:rPr>
            </w:pPr>
            <w:r w:rsidRPr="00D55DA8">
              <w:rPr>
                <w:sz w:val="20"/>
                <w:szCs w:val="20"/>
                <w:lang w:val="en-CA"/>
              </w:rPr>
              <w:t>Constant</w:t>
            </w:r>
          </w:p>
        </w:tc>
        <w:tc>
          <w:tcPr>
            <w:tcW w:w="1063" w:type="dxa"/>
            <w:tcBorders>
              <w:top w:val="nil"/>
              <w:left w:val="nil"/>
              <w:bottom w:val="nil"/>
              <w:right w:val="nil"/>
            </w:tcBorders>
            <w:shd w:val="clear" w:color="auto" w:fill="auto"/>
            <w:noWrap/>
            <w:vAlign w:val="bottom"/>
            <w:hideMark/>
          </w:tcPr>
          <w:p w14:paraId="1E8CD560" w14:textId="77777777" w:rsidR="004B4B47" w:rsidRPr="00D55DA8" w:rsidRDefault="004B4B47" w:rsidP="004B4B47">
            <w:pPr>
              <w:jc w:val="center"/>
              <w:rPr>
                <w:sz w:val="20"/>
                <w:szCs w:val="20"/>
                <w:lang w:val="en-CA"/>
              </w:rPr>
            </w:pPr>
            <w:r w:rsidRPr="00D55DA8">
              <w:rPr>
                <w:sz w:val="20"/>
                <w:szCs w:val="20"/>
                <w:lang w:val="en-CA"/>
              </w:rPr>
              <w:t>-8.291</w:t>
            </w:r>
          </w:p>
        </w:tc>
        <w:tc>
          <w:tcPr>
            <w:tcW w:w="1627" w:type="dxa"/>
            <w:tcBorders>
              <w:top w:val="nil"/>
              <w:left w:val="nil"/>
              <w:bottom w:val="nil"/>
              <w:right w:val="nil"/>
            </w:tcBorders>
            <w:shd w:val="clear" w:color="auto" w:fill="auto"/>
            <w:noWrap/>
            <w:vAlign w:val="bottom"/>
            <w:hideMark/>
          </w:tcPr>
          <w:p w14:paraId="1BE29207" w14:textId="77777777" w:rsidR="004B4B47" w:rsidRPr="00D55DA8" w:rsidRDefault="004B4B47" w:rsidP="004B4B47">
            <w:pPr>
              <w:jc w:val="center"/>
              <w:rPr>
                <w:sz w:val="20"/>
                <w:szCs w:val="20"/>
                <w:lang w:val="en-CA"/>
              </w:rPr>
            </w:pPr>
            <w:r w:rsidRPr="00D55DA8">
              <w:rPr>
                <w:sz w:val="20"/>
                <w:szCs w:val="20"/>
                <w:lang w:val="en-CA"/>
              </w:rPr>
              <w:t>-4.101</w:t>
            </w:r>
          </w:p>
        </w:tc>
        <w:tc>
          <w:tcPr>
            <w:tcW w:w="2090" w:type="dxa"/>
            <w:tcBorders>
              <w:top w:val="nil"/>
              <w:left w:val="nil"/>
              <w:bottom w:val="nil"/>
              <w:right w:val="nil"/>
            </w:tcBorders>
            <w:shd w:val="clear" w:color="auto" w:fill="auto"/>
            <w:noWrap/>
            <w:vAlign w:val="bottom"/>
            <w:hideMark/>
          </w:tcPr>
          <w:p w14:paraId="5E08DB53" w14:textId="77777777" w:rsidR="004B4B47" w:rsidRPr="00D55DA8" w:rsidRDefault="004B4B47" w:rsidP="004B4B47">
            <w:pPr>
              <w:jc w:val="center"/>
              <w:rPr>
                <w:sz w:val="20"/>
                <w:szCs w:val="20"/>
                <w:lang w:val="en-CA"/>
              </w:rPr>
            </w:pPr>
            <w:r w:rsidRPr="00D55DA8">
              <w:rPr>
                <w:sz w:val="20"/>
                <w:szCs w:val="20"/>
                <w:lang w:val="en-CA"/>
              </w:rPr>
              <w:t>-6.846</w:t>
            </w:r>
          </w:p>
        </w:tc>
        <w:tc>
          <w:tcPr>
            <w:tcW w:w="1063" w:type="dxa"/>
            <w:tcBorders>
              <w:top w:val="nil"/>
              <w:left w:val="nil"/>
              <w:bottom w:val="nil"/>
              <w:right w:val="nil"/>
            </w:tcBorders>
            <w:shd w:val="clear" w:color="auto" w:fill="auto"/>
            <w:noWrap/>
            <w:vAlign w:val="bottom"/>
            <w:hideMark/>
          </w:tcPr>
          <w:p w14:paraId="14D2F59E" w14:textId="77777777" w:rsidR="004B4B47" w:rsidRPr="00D55DA8" w:rsidRDefault="004B4B47" w:rsidP="004B4B47">
            <w:pPr>
              <w:jc w:val="center"/>
              <w:rPr>
                <w:sz w:val="20"/>
                <w:szCs w:val="20"/>
                <w:lang w:val="en-CA"/>
              </w:rPr>
            </w:pPr>
            <w:r w:rsidRPr="00D55DA8">
              <w:rPr>
                <w:sz w:val="20"/>
                <w:szCs w:val="20"/>
                <w:lang w:val="en-CA"/>
              </w:rPr>
              <w:t>-17.53*</w:t>
            </w:r>
          </w:p>
        </w:tc>
        <w:tc>
          <w:tcPr>
            <w:tcW w:w="1063" w:type="dxa"/>
            <w:tcBorders>
              <w:top w:val="nil"/>
              <w:left w:val="nil"/>
              <w:bottom w:val="nil"/>
              <w:right w:val="nil"/>
            </w:tcBorders>
            <w:shd w:val="clear" w:color="auto" w:fill="auto"/>
            <w:noWrap/>
            <w:vAlign w:val="bottom"/>
            <w:hideMark/>
          </w:tcPr>
          <w:p w14:paraId="7C25688A" w14:textId="77777777" w:rsidR="004B4B47" w:rsidRPr="00D55DA8" w:rsidRDefault="004B4B47" w:rsidP="004B4B47">
            <w:pPr>
              <w:jc w:val="center"/>
              <w:rPr>
                <w:sz w:val="20"/>
                <w:szCs w:val="20"/>
                <w:lang w:val="en-CA"/>
              </w:rPr>
            </w:pPr>
            <w:r w:rsidRPr="00D55DA8">
              <w:rPr>
                <w:sz w:val="20"/>
                <w:szCs w:val="20"/>
                <w:lang w:val="en-CA"/>
              </w:rPr>
              <w:t>-1.591</w:t>
            </w:r>
          </w:p>
        </w:tc>
        <w:tc>
          <w:tcPr>
            <w:tcW w:w="1233" w:type="dxa"/>
            <w:tcBorders>
              <w:top w:val="nil"/>
              <w:left w:val="nil"/>
              <w:bottom w:val="nil"/>
              <w:right w:val="nil"/>
            </w:tcBorders>
            <w:shd w:val="clear" w:color="auto" w:fill="auto"/>
            <w:noWrap/>
            <w:vAlign w:val="bottom"/>
            <w:hideMark/>
          </w:tcPr>
          <w:p w14:paraId="42287489" w14:textId="77777777" w:rsidR="004B4B47" w:rsidRPr="00D55DA8" w:rsidRDefault="004B4B47" w:rsidP="004B4B47">
            <w:pPr>
              <w:jc w:val="center"/>
              <w:rPr>
                <w:sz w:val="20"/>
                <w:szCs w:val="20"/>
                <w:lang w:val="en-CA"/>
              </w:rPr>
            </w:pPr>
            <w:r w:rsidRPr="00D55DA8">
              <w:rPr>
                <w:sz w:val="20"/>
                <w:szCs w:val="20"/>
                <w:lang w:val="en-CA"/>
              </w:rPr>
              <w:t>4.826</w:t>
            </w:r>
          </w:p>
        </w:tc>
      </w:tr>
      <w:tr w:rsidR="004B4B47" w:rsidRPr="00D55DA8" w14:paraId="3A16E70F" w14:textId="77777777" w:rsidTr="004B4B47">
        <w:trPr>
          <w:trHeight w:val="280"/>
        </w:trPr>
        <w:tc>
          <w:tcPr>
            <w:tcW w:w="2634" w:type="dxa"/>
            <w:tcBorders>
              <w:top w:val="nil"/>
              <w:left w:val="nil"/>
              <w:bottom w:val="nil"/>
              <w:right w:val="nil"/>
            </w:tcBorders>
            <w:shd w:val="clear" w:color="auto" w:fill="auto"/>
            <w:noWrap/>
            <w:vAlign w:val="bottom"/>
            <w:hideMark/>
          </w:tcPr>
          <w:p w14:paraId="4889E6E4"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6D6BA04D" w14:textId="77777777" w:rsidR="004B4B47" w:rsidRPr="00D55DA8" w:rsidRDefault="004B4B47" w:rsidP="004B4B47">
            <w:pPr>
              <w:jc w:val="center"/>
              <w:rPr>
                <w:sz w:val="20"/>
                <w:szCs w:val="20"/>
                <w:lang w:val="en-CA"/>
              </w:rPr>
            </w:pPr>
            <w:r w:rsidRPr="00D55DA8">
              <w:rPr>
                <w:sz w:val="20"/>
                <w:szCs w:val="20"/>
                <w:lang w:val="en-CA"/>
              </w:rPr>
              <w:t>(5.776)</w:t>
            </w:r>
          </w:p>
        </w:tc>
        <w:tc>
          <w:tcPr>
            <w:tcW w:w="1627" w:type="dxa"/>
            <w:tcBorders>
              <w:top w:val="nil"/>
              <w:left w:val="nil"/>
              <w:bottom w:val="nil"/>
              <w:right w:val="nil"/>
            </w:tcBorders>
            <w:shd w:val="clear" w:color="auto" w:fill="auto"/>
            <w:noWrap/>
            <w:vAlign w:val="bottom"/>
            <w:hideMark/>
          </w:tcPr>
          <w:p w14:paraId="54F1A441" w14:textId="77777777" w:rsidR="004B4B47" w:rsidRPr="00D55DA8" w:rsidRDefault="004B4B47" w:rsidP="004B4B47">
            <w:pPr>
              <w:jc w:val="center"/>
              <w:rPr>
                <w:sz w:val="20"/>
                <w:szCs w:val="20"/>
                <w:lang w:val="en-CA"/>
              </w:rPr>
            </w:pPr>
            <w:r w:rsidRPr="00D55DA8">
              <w:rPr>
                <w:sz w:val="20"/>
                <w:szCs w:val="20"/>
                <w:lang w:val="en-CA"/>
              </w:rPr>
              <w:t>(6.074)</w:t>
            </w:r>
          </w:p>
        </w:tc>
        <w:tc>
          <w:tcPr>
            <w:tcW w:w="2090" w:type="dxa"/>
            <w:tcBorders>
              <w:top w:val="nil"/>
              <w:left w:val="nil"/>
              <w:bottom w:val="nil"/>
              <w:right w:val="nil"/>
            </w:tcBorders>
            <w:shd w:val="clear" w:color="auto" w:fill="auto"/>
            <w:noWrap/>
            <w:vAlign w:val="bottom"/>
            <w:hideMark/>
          </w:tcPr>
          <w:p w14:paraId="55373C3C" w14:textId="77777777" w:rsidR="004B4B47" w:rsidRPr="00D55DA8" w:rsidRDefault="004B4B47" w:rsidP="004B4B47">
            <w:pPr>
              <w:jc w:val="center"/>
              <w:rPr>
                <w:sz w:val="20"/>
                <w:szCs w:val="20"/>
                <w:lang w:val="en-CA"/>
              </w:rPr>
            </w:pPr>
            <w:r w:rsidRPr="00D55DA8">
              <w:rPr>
                <w:sz w:val="20"/>
                <w:szCs w:val="20"/>
                <w:lang w:val="en-CA"/>
              </w:rPr>
              <w:t>(5.624)</w:t>
            </w:r>
          </w:p>
        </w:tc>
        <w:tc>
          <w:tcPr>
            <w:tcW w:w="1063" w:type="dxa"/>
            <w:tcBorders>
              <w:top w:val="nil"/>
              <w:left w:val="nil"/>
              <w:bottom w:val="nil"/>
              <w:right w:val="nil"/>
            </w:tcBorders>
            <w:shd w:val="clear" w:color="auto" w:fill="auto"/>
            <w:noWrap/>
            <w:vAlign w:val="bottom"/>
            <w:hideMark/>
          </w:tcPr>
          <w:p w14:paraId="430EB5D8" w14:textId="77777777" w:rsidR="004B4B47" w:rsidRPr="00D55DA8" w:rsidRDefault="004B4B47" w:rsidP="004B4B47">
            <w:pPr>
              <w:jc w:val="center"/>
              <w:rPr>
                <w:sz w:val="20"/>
                <w:szCs w:val="20"/>
                <w:lang w:val="en-CA"/>
              </w:rPr>
            </w:pPr>
            <w:r w:rsidRPr="00D55DA8">
              <w:rPr>
                <w:sz w:val="20"/>
                <w:szCs w:val="20"/>
                <w:lang w:val="en-CA"/>
              </w:rPr>
              <w:t>(9.992)</w:t>
            </w:r>
          </w:p>
        </w:tc>
        <w:tc>
          <w:tcPr>
            <w:tcW w:w="1063" w:type="dxa"/>
            <w:tcBorders>
              <w:top w:val="nil"/>
              <w:left w:val="nil"/>
              <w:bottom w:val="nil"/>
              <w:right w:val="nil"/>
            </w:tcBorders>
            <w:shd w:val="clear" w:color="auto" w:fill="auto"/>
            <w:noWrap/>
            <w:vAlign w:val="bottom"/>
            <w:hideMark/>
          </w:tcPr>
          <w:p w14:paraId="2662F676" w14:textId="77777777" w:rsidR="004B4B47" w:rsidRPr="00D55DA8" w:rsidRDefault="004B4B47" w:rsidP="004B4B47">
            <w:pPr>
              <w:jc w:val="center"/>
              <w:rPr>
                <w:sz w:val="20"/>
                <w:szCs w:val="20"/>
                <w:lang w:val="en-CA"/>
              </w:rPr>
            </w:pPr>
            <w:r w:rsidRPr="00D55DA8">
              <w:rPr>
                <w:sz w:val="20"/>
                <w:szCs w:val="20"/>
                <w:lang w:val="en-CA"/>
              </w:rPr>
              <w:t>(8.964)</w:t>
            </w:r>
          </w:p>
        </w:tc>
        <w:tc>
          <w:tcPr>
            <w:tcW w:w="1233" w:type="dxa"/>
            <w:tcBorders>
              <w:top w:val="nil"/>
              <w:left w:val="nil"/>
              <w:bottom w:val="nil"/>
              <w:right w:val="nil"/>
            </w:tcBorders>
            <w:shd w:val="clear" w:color="auto" w:fill="auto"/>
            <w:noWrap/>
            <w:vAlign w:val="bottom"/>
            <w:hideMark/>
          </w:tcPr>
          <w:p w14:paraId="3D95E249" w14:textId="77777777" w:rsidR="004B4B47" w:rsidRPr="00D55DA8" w:rsidRDefault="004B4B47" w:rsidP="004B4B47">
            <w:pPr>
              <w:jc w:val="center"/>
              <w:rPr>
                <w:sz w:val="20"/>
                <w:szCs w:val="20"/>
                <w:lang w:val="en-CA"/>
              </w:rPr>
            </w:pPr>
            <w:r w:rsidRPr="00D55DA8">
              <w:rPr>
                <w:sz w:val="20"/>
                <w:szCs w:val="20"/>
                <w:lang w:val="en-CA"/>
              </w:rPr>
              <w:t>(14.68)</w:t>
            </w:r>
          </w:p>
        </w:tc>
      </w:tr>
      <w:tr w:rsidR="004B4B47" w:rsidRPr="00D55DA8" w14:paraId="3C2A5302" w14:textId="77777777" w:rsidTr="004B4B47">
        <w:trPr>
          <w:trHeight w:val="280"/>
        </w:trPr>
        <w:tc>
          <w:tcPr>
            <w:tcW w:w="2634" w:type="dxa"/>
            <w:tcBorders>
              <w:top w:val="nil"/>
              <w:left w:val="nil"/>
              <w:bottom w:val="nil"/>
              <w:right w:val="nil"/>
            </w:tcBorders>
            <w:shd w:val="clear" w:color="auto" w:fill="auto"/>
            <w:noWrap/>
            <w:vAlign w:val="bottom"/>
            <w:hideMark/>
          </w:tcPr>
          <w:p w14:paraId="1BAAEA71"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06F0A92D" w14:textId="77777777" w:rsidR="004B4B47" w:rsidRPr="00D55DA8" w:rsidRDefault="004B4B47" w:rsidP="004B4B47">
            <w:pPr>
              <w:rPr>
                <w:sz w:val="20"/>
                <w:szCs w:val="20"/>
                <w:lang w:val="en-CA"/>
              </w:rPr>
            </w:pPr>
          </w:p>
        </w:tc>
        <w:tc>
          <w:tcPr>
            <w:tcW w:w="1627" w:type="dxa"/>
            <w:tcBorders>
              <w:top w:val="nil"/>
              <w:left w:val="nil"/>
              <w:bottom w:val="nil"/>
              <w:right w:val="nil"/>
            </w:tcBorders>
            <w:shd w:val="clear" w:color="auto" w:fill="auto"/>
            <w:noWrap/>
            <w:vAlign w:val="bottom"/>
            <w:hideMark/>
          </w:tcPr>
          <w:p w14:paraId="5996D8B2" w14:textId="77777777" w:rsidR="004B4B47" w:rsidRPr="00D55DA8" w:rsidRDefault="004B4B47" w:rsidP="004B4B47">
            <w:pPr>
              <w:jc w:val="center"/>
              <w:rPr>
                <w:sz w:val="20"/>
                <w:szCs w:val="20"/>
                <w:lang w:val="en-CA"/>
              </w:rPr>
            </w:pPr>
          </w:p>
        </w:tc>
        <w:tc>
          <w:tcPr>
            <w:tcW w:w="2090" w:type="dxa"/>
            <w:tcBorders>
              <w:top w:val="nil"/>
              <w:left w:val="nil"/>
              <w:bottom w:val="nil"/>
              <w:right w:val="nil"/>
            </w:tcBorders>
            <w:shd w:val="clear" w:color="auto" w:fill="auto"/>
            <w:noWrap/>
            <w:vAlign w:val="bottom"/>
            <w:hideMark/>
          </w:tcPr>
          <w:p w14:paraId="0B040B18"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352A56CF" w14:textId="77777777" w:rsidR="004B4B47" w:rsidRPr="00D55DA8" w:rsidRDefault="004B4B47" w:rsidP="004B4B47">
            <w:pPr>
              <w:jc w:val="center"/>
              <w:rPr>
                <w:sz w:val="20"/>
                <w:szCs w:val="20"/>
                <w:lang w:val="en-CA"/>
              </w:rPr>
            </w:pPr>
          </w:p>
        </w:tc>
        <w:tc>
          <w:tcPr>
            <w:tcW w:w="1063" w:type="dxa"/>
            <w:tcBorders>
              <w:top w:val="nil"/>
              <w:left w:val="nil"/>
              <w:bottom w:val="nil"/>
              <w:right w:val="nil"/>
            </w:tcBorders>
            <w:shd w:val="clear" w:color="auto" w:fill="auto"/>
            <w:noWrap/>
            <w:vAlign w:val="bottom"/>
            <w:hideMark/>
          </w:tcPr>
          <w:p w14:paraId="34511ACB" w14:textId="77777777" w:rsidR="004B4B47" w:rsidRPr="00D55DA8" w:rsidRDefault="004B4B47" w:rsidP="004B4B47">
            <w:pPr>
              <w:jc w:val="center"/>
              <w:rPr>
                <w:sz w:val="20"/>
                <w:szCs w:val="20"/>
                <w:lang w:val="en-CA"/>
              </w:rPr>
            </w:pPr>
          </w:p>
        </w:tc>
        <w:tc>
          <w:tcPr>
            <w:tcW w:w="1233" w:type="dxa"/>
            <w:tcBorders>
              <w:top w:val="nil"/>
              <w:left w:val="nil"/>
              <w:bottom w:val="nil"/>
              <w:right w:val="nil"/>
            </w:tcBorders>
            <w:shd w:val="clear" w:color="auto" w:fill="auto"/>
            <w:noWrap/>
            <w:vAlign w:val="bottom"/>
            <w:hideMark/>
          </w:tcPr>
          <w:p w14:paraId="267D9E30" w14:textId="77777777" w:rsidR="004B4B47" w:rsidRPr="00D55DA8" w:rsidRDefault="004B4B47" w:rsidP="004B4B47">
            <w:pPr>
              <w:jc w:val="center"/>
              <w:rPr>
                <w:sz w:val="20"/>
                <w:szCs w:val="20"/>
                <w:lang w:val="en-CA"/>
              </w:rPr>
            </w:pPr>
          </w:p>
        </w:tc>
      </w:tr>
      <w:tr w:rsidR="004B4B47" w:rsidRPr="00D55DA8" w14:paraId="1C6723A1" w14:textId="77777777" w:rsidTr="004B4B47">
        <w:trPr>
          <w:trHeight w:val="280"/>
        </w:trPr>
        <w:tc>
          <w:tcPr>
            <w:tcW w:w="2634" w:type="dxa"/>
            <w:tcBorders>
              <w:top w:val="nil"/>
              <w:left w:val="nil"/>
              <w:bottom w:val="nil"/>
              <w:right w:val="nil"/>
            </w:tcBorders>
            <w:shd w:val="clear" w:color="auto" w:fill="auto"/>
            <w:noWrap/>
            <w:vAlign w:val="bottom"/>
            <w:hideMark/>
          </w:tcPr>
          <w:p w14:paraId="3EBF36B6" w14:textId="77777777" w:rsidR="004B4B47" w:rsidRPr="00D55DA8" w:rsidRDefault="004B4B47" w:rsidP="004B4B47">
            <w:pPr>
              <w:rPr>
                <w:sz w:val="20"/>
                <w:szCs w:val="20"/>
                <w:lang w:val="en-CA"/>
              </w:rPr>
            </w:pPr>
            <w:r w:rsidRPr="00D55DA8">
              <w:rPr>
                <w:sz w:val="20"/>
                <w:szCs w:val="20"/>
                <w:lang w:val="en-CA"/>
              </w:rPr>
              <w:t>Observations</w:t>
            </w:r>
          </w:p>
        </w:tc>
        <w:tc>
          <w:tcPr>
            <w:tcW w:w="1063" w:type="dxa"/>
            <w:tcBorders>
              <w:top w:val="nil"/>
              <w:left w:val="nil"/>
              <w:bottom w:val="nil"/>
              <w:right w:val="nil"/>
            </w:tcBorders>
            <w:shd w:val="clear" w:color="auto" w:fill="auto"/>
            <w:noWrap/>
            <w:vAlign w:val="bottom"/>
            <w:hideMark/>
          </w:tcPr>
          <w:p w14:paraId="48A2CCCB" w14:textId="77777777" w:rsidR="004B4B47" w:rsidRPr="00D55DA8" w:rsidRDefault="004B4B47" w:rsidP="004B4B47">
            <w:pPr>
              <w:jc w:val="center"/>
              <w:rPr>
                <w:sz w:val="20"/>
                <w:szCs w:val="20"/>
                <w:lang w:val="en-CA"/>
              </w:rPr>
            </w:pPr>
            <w:r w:rsidRPr="00D55DA8">
              <w:rPr>
                <w:sz w:val="20"/>
                <w:szCs w:val="20"/>
                <w:lang w:val="en-CA"/>
              </w:rPr>
              <w:t>157</w:t>
            </w:r>
          </w:p>
        </w:tc>
        <w:tc>
          <w:tcPr>
            <w:tcW w:w="1627" w:type="dxa"/>
            <w:tcBorders>
              <w:top w:val="nil"/>
              <w:left w:val="nil"/>
              <w:bottom w:val="nil"/>
              <w:right w:val="nil"/>
            </w:tcBorders>
            <w:shd w:val="clear" w:color="auto" w:fill="auto"/>
            <w:noWrap/>
            <w:vAlign w:val="bottom"/>
            <w:hideMark/>
          </w:tcPr>
          <w:p w14:paraId="28975812" w14:textId="77777777" w:rsidR="004B4B47" w:rsidRPr="00D55DA8" w:rsidRDefault="004B4B47" w:rsidP="004B4B47">
            <w:pPr>
              <w:jc w:val="center"/>
              <w:rPr>
                <w:sz w:val="20"/>
                <w:szCs w:val="20"/>
                <w:lang w:val="en-CA"/>
              </w:rPr>
            </w:pPr>
            <w:r w:rsidRPr="00D55DA8">
              <w:rPr>
                <w:sz w:val="20"/>
                <w:szCs w:val="20"/>
                <w:lang w:val="en-CA"/>
              </w:rPr>
              <w:t>157</w:t>
            </w:r>
          </w:p>
        </w:tc>
        <w:tc>
          <w:tcPr>
            <w:tcW w:w="2090" w:type="dxa"/>
            <w:tcBorders>
              <w:top w:val="nil"/>
              <w:left w:val="nil"/>
              <w:bottom w:val="nil"/>
              <w:right w:val="nil"/>
            </w:tcBorders>
            <w:shd w:val="clear" w:color="auto" w:fill="auto"/>
            <w:noWrap/>
            <w:vAlign w:val="bottom"/>
            <w:hideMark/>
          </w:tcPr>
          <w:p w14:paraId="511A7996" w14:textId="77777777" w:rsidR="004B4B47" w:rsidRPr="00D55DA8" w:rsidRDefault="004B4B47" w:rsidP="004B4B47">
            <w:pPr>
              <w:jc w:val="center"/>
              <w:rPr>
                <w:sz w:val="20"/>
                <w:szCs w:val="20"/>
                <w:lang w:val="en-CA"/>
              </w:rPr>
            </w:pPr>
            <w:r w:rsidRPr="00D55DA8">
              <w:rPr>
                <w:sz w:val="20"/>
                <w:szCs w:val="20"/>
                <w:lang w:val="en-CA"/>
              </w:rPr>
              <w:t>157</w:t>
            </w:r>
          </w:p>
        </w:tc>
        <w:tc>
          <w:tcPr>
            <w:tcW w:w="1063" w:type="dxa"/>
            <w:tcBorders>
              <w:top w:val="nil"/>
              <w:left w:val="nil"/>
              <w:bottom w:val="nil"/>
              <w:right w:val="nil"/>
            </w:tcBorders>
            <w:shd w:val="clear" w:color="auto" w:fill="auto"/>
            <w:noWrap/>
            <w:vAlign w:val="bottom"/>
            <w:hideMark/>
          </w:tcPr>
          <w:p w14:paraId="7FB76188" w14:textId="77777777" w:rsidR="004B4B47" w:rsidRPr="00D55DA8" w:rsidRDefault="004B4B47" w:rsidP="004B4B47">
            <w:pPr>
              <w:jc w:val="center"/>
              <w:rPr>
                <w:sz w:val="20"/>
                <w:szCs w:val="20"/>
                <w:lang w:val="en-CA"/>
              </w:rPr>
            </w:pPr>
            <w:r w:rsidRPr="00D55DA8">
              <w:rPr>
                <w:sz w:val="20"/>
                <w:szCs w:val="20"/>
                <w:lang w:val="en-CA"/>
              </w:rPr>
              <w:t>58</w:t>
            </w:r>
          </w:p>
        </w:tc>
        <w:tc>
          <w:tcPr>
            <w:tcW w:w="1063" w:type="dxa"/>
            <w:tcBorders>
              <w:top w:val="nil"/>
              <w:left w:val="nil"/>
              <w:bottom w:val="nil"/>
              <w:right w:val="nil"/>
            </w:tcBorders>
            <w:shd w:val="clear" w:color="auto" w:fill="auto"/>
            <w:noWrap/>
            <w:vAlign w:val="bottom"/>
            <w:hideMark/>
          </w:tcPr>
          <w:p w14:paraId="392589C7" w14:textId="77777777" w:rsidR="004B4B47" w:rsidRPr="00D55DA8" w:rsidRDefault="004B4B47" w:rsidP="004B4B47">
            <w:pPr>
              <w:jc w:val="center"/>
              <w:rPr>
                <w:sz w:val="20"/>
                <w:szCs w:val="20"/>
                <w:lang w:val="en-CA"/>
              </w:rPr>
            </w:pPr>
            <w:r w:rsidRPr="00D55DA8">
              <w:rPr>
                <w:sz w:val="20"/>
                <w:szCs w:val="20"/>
                <w:lang w:val="en-CA"/>
              </w:rPr>
              <w:t>97</w:t>
            </w:r>
          </w:p>
        </w:tc>
        <w:tc>
          <w:tcPr>
            <w:tcW w:w="1233" w:type="dxa"/>
            <w:tcBorders>
              <w:top w:val="nil"/>
              <w:left w:val="nil"/>
              <w:bottom w:val="nil"/>
              <w:right w:val="nil"/>
            </w:tcBorders>
            <w:shd w:val="clear" w:color="auto" w:fill="auto"/>
            <w:noWrap/>
            <w:vAlign w:val="bottom"/>
            <w:hideMark/>
          </w:tcPr>
          <w:p w14:paraId="70237C5E" w14:textId="77777777" w:rsidR="004B4B47" w:rsidRPr="00D55DA8" w:rsidRDefault="004B4B47" w:rsidP="004B4B47">
            <w:pPr>
              <w:jc w:val="center"/>
              <w:rPr>
                <w:sz w:val="20"/>
                <w:szCs w:val="20"/>
                <w:lang w:val="en-CA"/>
              </w:rPr>
            </w:pPr>
            <w:r w:rsidRPr="00D55DA8">
              <w:rPr>
                <w:sz w:val="20"/>
                <w:szCs w:val="20"/>
                <w:lang w:val="en-CA"/>
              </w:rPr>
              <w:t>45</w:t>
            </w:r>
          </w:p>
        </w:tc>
      </w:tr>
      <w:tr w:rsidR="004B4B47" w:rsidRPr="00D55DA8" w14:paraId="4BF968F5" w14:textId="77777777" w:rsidTr="004B4B47">
        <w:trPr>
          <w:trHeight w:val="280"/>
        </w:trPr>
        <w:tc>
          <w:tcPr>
            <w:tcW w:w="2634" w:type="dxa"/>
            <w:tcBorders>
              <w:top w:val="nil"/>
              <w:left w:val="nil"/>
              <w:bottom w:val="single" w:sz="4" w:space="0" w:color="auto"/>
              <w:right w:val="nil"/>
            </w:tcBorders>
            <w:shd w:val="clear" w:color="auto" w:fill="auto"/>
            <w:noWrap/>
            <w:vAlign w:val="bottom"/>
            <w:hideMark/>
          </w:tcPr>
          <w:p w14:paraId="3BCE862B" w14:textId="77777777" w:rsidR="004B4B47" w:rsidRPr="00D55DA8" w:rsidRDefault="004B4B47" w:rsidP="004B4B47">
            <w:pPr>
              <w:rPr>
                <w:sz w:val="20"/>
                <w:szCs w:val="20"/>
                <w:lang w:val="en-CA"/>
              </w:rPr>
            </w:pPr>
            <w:r w:rsidRPr="00D55DA8">
              <w:rPr>
                <w:sz w:val="20"/>
                <w:szCs w:val="20"/>
                <w:lang w:val="en-CA"/>
              </w:rPr>
              <w:t>R-squared</w:t>
            </w:r>
          </w:p>
        </w:tc>
        <w:tc>
          <w:tcPr>
            <w:tcW w:w="1063" w:type="dxa"/>
            <w:tcBorders>
              <w:top w:val="nil"/>
              <w:left w:val="nil"/>
              <w:bottom w:val="single" w:sz="4" w:space="0" w:color="auto"/>
              <w:right w:val="nil"/>
            </w:tcBorders>
            <w:shd w:val="clear" w:color="auto" w:fill="auto"/>
            <w:noWrap/>
            <w:vAlign w:val="bottom"/>
            <w:hideMark/>
          </w:tcPr>
          <w:p w14:paraId="7CFDFFAD" w14:textId="77777777" w:rsidR="004B4B47" w:rsidRPr="00D55DA8" w:rsidRDefault="004B4B47" w:rsidP="004B4B47">
            <w:pPr>
              <w:jc w:val="center"/>
              <w:rPr>
                <w:sz w:val="20"/>
                <w:szCs w:val="20"/>
                <w:lang w:val="en-CA"/>
              </w:rPr>
            </w:pPr>
            <w:r w:rsidRPr="00D55DA8">
              <w:rPr>
                <w:sz w:val="20"/>
                <w:szCs w:val="20"/>
                <w:lang w:val="en-CA"/>
              </w:rPr>
              <w:t>0.798</w:t>
            </w:r>
          </w:p>
        </w:tc>
        <w:tc>
          <w:tcPr>
            <w:tcW w:w="1627" w:type="dxa"/>
            <w:tcBorders>
              <w:top w:val="nil"/>
              <w:left w:val="nil"/>
              <w:bottom w:val="single" w:sz="4" w:space="0" w:color="auto"/>
              <w:right w:val="nil"/>
            </w:tcBorders>
            <w:shd w:val="clear" w:color="auto" w:fill="auto"/>
            <w:noWrap/>
            <w:vAlign w:val="bottom"/>
            <w:hideMark/>
          </w:tcPr>
          <w:p w14:paraId="37468ACE" w14:textId="77777777" w:rsidR="004B4B47" w:rsidRPr="00D55DA8" w:rsidRDefault="004B4B47" w:rsidP="004B4B47">
            <w:pPr>
              <w:jc w:val="center"/>
              <w:rPr>
                <w:sz w:val="20"/>
                <w:szCs w:val="20"/>
                <w:lang w:val="en-CA"/>
              </w:rPr>
            </w:pPr>
            <w:r w:rsidRPr="00D55DA8">
              <w:rPr>
                <w:sz w:val="20"/>
                <w:szCs w:val="20"/>
                <w:lang w:val="en-CA"/>
              </w:rPr>
              <w:t>0.813</w:t>
            </w:r>
          </w:p>
        </w:tc>
        <w:tc>
          <w:tcPr>
            <w:tcW w:w="2090" w:type="dxa"/>
            <w:tcBorders>
              <w:top w:val="nil"/>
              <w:left w:val="nil"/>
              <w:bottom w:val="single" w:sz="4" w:space="0" w:color="auto"/>
              <w:right w:val="nil"/>
            </w:tcBorders>
            <w:shd w:val="clear" w:color="auto" w:fill="auto"/>
            <w:noWrap/>
            <w:vAlign w:val="bottom"/>
            <w:hideMark/>
          </w:tcPr>
          <w:p w14:paraId="2847DD86" w14:textId="77777777" w:rsidR="004B4B47" w:rsidRPr="00D55DA8" w:rsidRDefault="004B4B47" w:rsidP="004B4B47">
            <w:pPr>
              <w:jc w:val="center"/>
              <w:rPr>
                <w:sz w:val="20"/>
                <w:szCs w:val="20"/>
                <w:lang w:val="en-CA"/>
              </w:rPr>
            </w:pPr>
            <w:r w:rsidRPr="00D55DA8">
              <w:rPr>
                <w:sz w:val="20"/>
                <w:szCs w:val="20"/>
                <w:lang w:val="en-CA"/>
              </w:rPr>
              <w:t>0.817</w:t>
            </w:r>
          </w:p>
        </w:tc>
        <w:tc>
          <w:tcPr>
            <w:tcW w:w="1063" w:type="dxa"/>
            <w:tcBorders>
              <w:top w:val="nil"/>
              <w:left w:val="nil"/>
              <w:bottom w:val="single" w:sz="4" w:space="0" w:color="auto"/>
              <w:right w:val="nil"/>
            </w:tcBorders>
            <w:shd w:val="clear" w:color="auto" w:fill="auto"/>
            <w:noWrap/>
            <w:vAlign w:val="bottom"/>
            <w:hideMark/>
          </w:tcPr>
          <w:p w14:paraId="680A2B9A" w14:textId="77777777" w:rsidR="004B4B47" w:rsidRPr="00D55DA8" w:rsidRDefault="004B4B47" w:rsidP="004B4B47">
            <w:pPr>
              <w:jc w:val="center"/>
              <w:rPr>
                <w:sz w:val="20"/>
                <w:szCs w:val="20"/>
                <w:lang w:val="en-CA"/>
              </w:rPr>
            </w:pPr>
            <w:r w:rsidRPr="00D55DA8">
              <w:rPr>
                <w:sz w:val="20"/>
                <w:szCs w:val="20"/>
                <w:lang w:val="en-CA"/>
              </w:rPr>
              <w:t>0.895</w:t>
            </w:r>
          </w:p>
        </w:tc>
        <w:tc>
          <w:tcPr>
            <w:tcW w:w="1063" w:type="dxa"/>
            <w:tcBorders>
              <w:top w:val="nil"/>
              <w:left w:val="nil"/>
              <w:bottom w:val="single" w:sz="4" w:space="0" w:color="auto"/>
              <w:right w:val="nil"/>
            </w:tcBorders>
            <w:shd w:val="clear" w:color="auto" w:fill="auto"/>
            <w:noWrap/>
            <w:vAlign w:val="bottom"/>
            <w:hideMark/>
          </w:tcPr>
          <w:p w14:paraId="6937AF8D" w14:textId="77777777" w:rsidR="004B4B47" w:rsidRPr="00D55DA8" w:rsidRDefault="004B4B47" w:rsidP="004B4B47">
            <w:pPr>
              <w:jc w:val="center"/>
              <w:rPr>
                <w:sz w:val="20"/>
                <w:szCs w:val="20"/>
                <w:lang w:val="en-CA"/>
              </w:rPr>
            </w:pPr>
            <w:r w:rsidRPr="00D55DA8">
              <w:rPr>
                <w:sz w:val="20"/>
                <w:szCs w:val="20"/>
                <w:lang w:val="en-CA"/>
              </w:rPr>
              <w:t>0.649</w:t>
            </w:r>
          </w:p>
        </w:tc>
        <w:tc>
          <w:tcPr>
            <w:tcW w:w="1233" w:type="dxa"/>
            <w:tcBorders>
              <w:top w:val="nil"/>
              <w:left w:val="nil"/>
              <w:bottom w:val="single" w:sz="4" w:space="0" w:color="auto"/>
              <w:right w:val="nil"/>
            </w:tcBorders>
            <w:shd w:val="clear" w:color="auto" w:fill="auto"/>
            <w:noWrap/>
            <w:vAlign w:val="bottom"/>
            <w:hideMark/>
          </w:tcPr>
          <w:p w14:paraId="185690B0" w14:textId="77777777" w:rsidR="004B4B47" w:rsidRPr="00D55DA8" w:rsidRDefault="004B4B47" w:rsidP="004B4B47">
            <w:pPr>
              <w:jc w:val="center"/>
              <w:rPr>
                <w:sz w:val="20"/>
                <w:szCs w:val="20"/>
                <w:lang w:val="en-CA"/>
              </w:rPr>
            </w:pPr>
            <w:r w:rsidRPr="00D55DA8">
              <w:rPr>
                <w:sz w:val="20"/>
                <w:szCs w:val="20"/>
                <w:lang w:val="en-CA"/>
              </w:rPr>
              <w:t>0.563</w:t>
            </w:r>
          </w:p>
        </w:tc>
      </w:tr>
      <w:tr w:rsidR="004B4B47" w:rsidRPr="00D55DA8" w14:paraId="12782721" w14:textId="77777777" w:rsidTr="004B4B47">
        <w:trPr>
          <w:trHeight w:val="280"/>
        </w:trPr>
        <w:tc>
          <w:tcPr>
            <w:tcW w:w="5324" w:type="dxa"/>
            <w:gridSpan w:val="3"/>
            <w:vMerge w:val="restart"/>
            <w:tcBorders>
              <w:top w:val="nil"/>
              <w:left w:val="nil"/>
              <w:right w:val="nil"/>
            </w:tcBorders>
            <w:shd w:val="clear" w:color="auto" w:fill="auto"/>
            <w:noWrap/>
            <w:vAlign w:val="bottom"/>
            <w:hideMark/>
          </w:tcPr>
          <w:p w14:paraId="0A6C131D" w14:textId="77777777" w:rsidR="004B4B47" w:rsidRPr="00D55DA8" w:rsidRDefault="004B4B47" w:rsidP="004B4B47">
            <w:pPr>
              <w:rPr>
                <w:sz w:val="20"/>
                <w:szCs w:val="20"/>
                <w:lang w:val="en-CA"/>
              </w:rPr>
            </w:pPr>
            <w:r w:rsidRPr="00D55DA8">
              <w:rPr>
                <w:sz w:val="20"/>
                <w:szCs w:val="20"/>
                <w:lang w:val="en-CA"/>
              </w:rPr>
              <w:t>Standard errors in parentheses</w:t>
            </w:r>
          </w:p>
          <w:p w14:paraId="04242BAE" w14:textId="6F260285" w:rsidR="004B4B47" w:rsidRPr="00D55DA8" w:rsidRDefault="004B4B47" w:rsidP="004B4B47">
            <w:pPr>
              <w:rPr>
                <w:sz w:val="20"/>
                <w:szCs w:val="20"/>
                <w:lang w:val="en-CA"/>
              </w:rPr>
            </w:pPr>
            <w:r w:rsidRPr="00D55DA8">
              <w:rPr>
                <w:sz w:val="20"/>
                <w:szCs w:val="20"/>
                <w:lang w:val="en-CA"/>
              </w:rPr>
              <w:t>*** p&lt;0.01, ** p&lt;0.05, * p&lt;0.1</w:t>
            </w:r>
          </w:p>
        </w:tc>
        <w:tc>
          <w:tcPr>
            <w:tcW w:w="2090" w:type="dxa"/>
            <w:tcBorders>
              <w:top w:val="nil"/>
              <w:left w:val="nil"/>
              <w:bottom w:val="nil"/>
              <w:right w:val="nil"/>
            </w:tcBorders>
            <w:shd w:val="clear" w:color="auto" w:fill="auto"/>
            <w:noWrap/>
            <w:vAlign w:val="bottom"/>
            <w:hideMark/>
          </w:tcPr>
          <w:p w14:paraId="7AAC5F8A"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41DA2D37"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6A056906" w14:textId="77777777" w:rsidR="004B4B47" w:rsidRPr="00D55DA8" w:rsidRDefault="004B4B47" w:rsidP="004B4B47">
            <w:pPr>
              <w:rPr>
                <w:sz w:val="20"/>
                <w:szCs w:val="20"/>
                <w:lang w:val="en-CA"/>
              </w:rPr>
            </w:pPr>
          </w:p>
        </w:tc>
        <w:tc>
          <w:tcPr>
            <w:tcW w:w="1233" w:type="dxa"/>
            <w:tcBorders>
              <w:top w:val="nil"/>
              <w:left w:val="nil"/>
              <w:bottom w:val="nil"/>
              <w:right w:val="nil"/>
            </w:tcBorders>
            <w:shd w:val="clear" w:color="auto" w:fill="auto"/>
            <w:noWrap/>
            <w:vAlign w:val="bottom"/>
            <w:hideMark/>
          </w:tcPr>
          <w:p w14:paraId="6C9B0769" w14:textId="77777777" w:rsidR="004B4B47" w:rsidRPr="00D55DA8" w:rsidRDefault="004B4B47" w:rsidP="004B4B47">
            <w:pPr>
              <w:rPr>
                <w:sz w:val="20"/>
                <w:szCs w:val="20"/>
                <w:lang w:val="en-CA"/>
              </w:rPr>
            </w:pPr>
          </w:p>
        </w:tc>
      </w:tr>
      <w:tr w:rsidR="004B4B47" w:rsidRPr="00D55DA8" w14:paraId="7BD96B40" w14:textId="77777777" w:rsidTr="004B4B47">
        <w:trPr>
          <w:trHeight w:val="280"/>
        </w:trPr>
        <w:tc>
          <w:tcPr>
            <w:tcW w:w="5324" w:type="dxa"/>
            <w:gridSpan w:val="3"/>
            <w:vMerge/>
            <w:tcBorders>
              <w:left w:val="nil"/>
              <w:bottom w:val="nil"/>
              <w:right w:val="nil"/>
            </w:tcBorders>
            <w:shd w:val="clear" w:color="auto" w:fill="auto"/>
            <w:noWrap/>
            <w:vAlign w:val="bottom"/>
            <w:hideMark/>
          </w:tcPr>
          <w:p w14:paraId="08B6DB0B" w14:textId="4E3BCB8D" w:rsidR="004B4B47" w:rsidRPr="00D55DA8" w:rsidRDefault="004B4B47" w:rsidP="004B4B47">
            <w:pPr>
              <w:rPr>
                <w:sz w:val="20"/>
                <w:szCs w:val="20"/>
                <w:lang w:val="en-CA"/>
              </w:rPr>
            </w:pPr>
          </w:p>
        </w:tc>
        <w:tc>
          <w:tcPr>
            <w:tcW w:w="2090" w:type="dxa"/>
            <w:tcBorders>
              <w:top w:val="nil"/>
              <w:left w:val="nil"/>
              <w:bottom w:val="nil"/>
              <w:right w:val="nil"/>
            </w:tcBorders>
            <w:shd w:val="clear" w:color="auto" w:fill="auto"/>
            <w:noWrap/>
            <w:vAlign w:val="bottom"/>
            <w:hideMark/>
          </w:tcPr>
          <w:p w14:paraId="69FDECE4"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4D75D400" w14:textId="77777777" w:rsidR="004B4B47" w:rsidRPr="00D55DA8" w:rsidRDefault="004B4B47" w:rsidP="004B4B47">
            <w:pPr>
              <w:rPr>
                <w:sz w:val="20"/>
                <w:szCs w:val="20"/>
                <w:lang w:val="en-CA"/>
              </w:rPr>
            </w:pPr>
          </w:p>
        </w:tc>
        <w:tc>
          <w:tcPr>
            <w:tcW w:w="1063" w:type="dxa"/>
            <w:tcBorders>
              <w:top w:val="nil"/>
              <w:left w:val="nil"/>
              <w:bottom w:val="nil"/>
              <w:right w:val="nil"/>
            </w:tcBorders>
            <w:shd w:val="clear" w:color="auto" w:fill="auto"/>
            <w:noWrap/>
            <w:vAlign w:val="bottom"/>
            <w:hideMark/>
          </w:tcPr>
          <w:p w14:paraId="3C52D06D" w14:textId="77777777" w:rsidR="004B4B47" w:rsidRPr="00D55DA8" w:rsidRDefault="004B4B47" w:rsidP="004B4B47">
            <w:pPr>
              <w:rPr>
                <w:sz w:val="20"/>
                <w:szCs w:val="20"/>
                <w:lang w:val="en-CA"/>
              </w:rPr>
            </w:pPr>
          </w:p>
        </w:tc>
        <w:tc>
          <w:tcPr>
            <w:tcW w:w="1233" w:type="dxa"/>
            <w:tcBorders>
              <w:top w:val="nil"/>
              <w:left w:val="nil"/>
              <w:bottom w:val="nil"/>
              <w:right w:val="nil"/>
            </w:tcBorders>
            <w:shd w:val="clear" w:color="auto" w:fill="auto"/>
            <w:noWrap/>
            <w:vAlign w:val="bottom"/>
            <w:hideMark/>
          </w:tcPr>
          <w:p w14:paraId="5012C9ED" w14:textId="77777777" w:rsidR="004B4B47" w:rsidRPr="00D55DA8" w:rsidRDefault="004B4B47" w:rsidP="004B4B47">
            <w:pPr>
              <w:rPr>
                <w:sz w:val="20"/>
                <w:szCs w:val="20"/>
                <w:lang w:val="en-CA"/>
              </w:rPr>
            </w:pPr>
          </w:p>
        </w:tc>
      </w:tr>
    </w:tbl>
    <w:p w14:paraId="6AD7AB7C" w14:textId="35E8B0BC" w:rsidR="00CD5B3F" w:rsidRPr="00D55DA8" w:rsidRDefault="00CD5B3F" w:rsidP="00E21C2A">
      <w:pPr>
        <w:spacing w:line="480" w:lineRule="auto"/>
        <w:jc w:val="both"/>
        <w:rPr>
          <w:lang w:val="en-US"/>
        </w:rPr>
      </w:pPr>
    </w:p>
    <w:p w14:paraId="04C92952" w14:textId="53FBBCD8" w:rsidR="00B53953" w:rsidRPr="00D55DA8" w:rsidRDefault="00727162" w:rsidP="00E21C2A">
      <w:pPr>
        <w:spacing w:line="480" w:lineRule="auto"/>
        <w:ind w:firstLine="708"/>
        <w:jc w:val="both"/>
        <w:rPr>
          <w:lang w:val="en-US"/>
        </w:rPr>
      </w:pPr>
      <w:r w:rsidRPr="00D55DA8">
        <w:rPr>
          <w:lang w:val="en-US"/>
        </w:rPr>
        <w:lastRenderedPageBreak/>
        <w:t>Finally, f</w:t>
      </w:r>
      <w:r w:rsidR="00B53953" w:rsidRPr="00D55DA8">
        <w:rPr>
          <w:lang w:val="en-US"/>
        </w:rPr>
        <w:t xml:space="preserve">igure 4 below presents </w:t>
      </w:r>
      <w:r w:rsidR="006113FE" w:rsidRPr="00D55DA8">
        <w:rPr>
          <w:lang w:val="en-US"/>
        </w:rPr>
        <w:t>rolling regression</w:t>
      </w:r>
      <w:r w:rsidR="0036752B" w:rsidRPr="00D55DA8">
        <w:rPr>
          <w:lang w:val="en-US"/>
        </w:rPr>
        <w:t>s</w:t>
      </w:r>
      <w:r w:rsidR="00B53953" w:rsidRPr="00D55DA8">
        <w:rPr>
          <w:lang w:val="en-US"/>
        </w:rPr>
        <w:t xml:space="preserve"> </w:t>
      </w:r>
      <w:r w:rsidR="0036752B" w:rsidRPr="00D55DA8">
        <w:rPr>
          <w:lang w:val="en-US"/>
        </w:rPr>
        <w:t>with</w:t>
      </w:r>
      <w:r w:rsidR="00B53953" w:rsidRPr="00D55DA8">
        <w:rPr>
          <w:lang w:val="en-US"/>
        </w:rPr>
        <w:t xml:space="preserve"> </w:t>
      </w:r>
      <w:r w:rsidR="006113FE" w:rsidRPr="00D55DA8">
        <w:rPr>
          <w:lang w:val="en-US"/>
        </w:rPr>
        <w:t xml:space="preserve">the equation </w:t>
      </w:r>
      <w:r w:rsidR="0036752B" w:rsidRPr="00D55DA8">
        <w:rPr>
          <w:lang w:val="en-US"/>
        </w:rPr>
        <w:t>of</w:t>
      </w:r>
      <w:r w:rsidR="006113FE" w:rsidRPr="00D55DA8">
        <w:rPr>
          <w:lang w:val="en-US"/>
        </w:rPr>
        <w:t xml:space="preserve"> model 1 in table 1.</w:t>
      </w:r>
      <w:r w:rsidR="00B53953" w:rsidRPr="00D55DA8">
        <w:rPr>
          <w:lang w:val="en-US"/>
        </w:rPr>
        <w:t xml:space="preserve"> The coefficients represent the estimate of the regression in a moving window</w:t>
      </w:r>
      <w:r w:rsidR="006113FE" w:rsidRPr="00D55DA8">
        <w:rPr>
          <w:lang w:val="en-US"/>
        </w:rPr>
        <w:t xml:space="preserve"> of 50 time periods</w:t>
      </w:r>
      <w:r w:rsidR="0036752B" w:rsidRPr="00D55DA8">
        <w:rPr>
          <w:lang w:val="en-US"/>
        </w:rPr>
        <w:t>, with 95% confidence intervals</w:t>
      </w:r>
      <w:r w:rsidR="006113FE" w:rsidRPr="00D55DA8">
        <w:rPr>
          <w:lang w:val="en-US"/>
        </w:rPr>
        <w:t>. F</w:t>
      </w:r>
      <w:r w:rsidR="00B53953" w:rsidRPr="00D55DA8">
        <w:rPr>
          <w:lang w:val="en-US"/>
        </w:rPr>
        <w:t>or example, the estimate</w:t>
      </w:r>
      <w:r w:rsidR="006113FE" w:rsidRPr="00D55DA8">
        <w:rPr>
          <w:lang w:val="en-US"/>
        </w:rPr>
        <w:t xml:space="preserve"> shown at 1990q1 represent</w:t>
      </w:r>
      <w:r w:rsidR="00821ECF" w:rsidRPr="00D55DA8">
        <w:rPr>
          <w:lang w:val="en-US"/>
        </w:rPr>
        <w:t>s</w:t>
      </w:r>
      <w:r w:rsidR="006113FE" w:rsidRPr="00D55DA8">
        <w:rPr>
          <w:lang w:val="en-US"/>
        </w:rPr>
        <w:t xml:space="preserve"> the coefficient of net lending on approval from the first quarter of 1990 to the third quarter of 2002 (50 quarters).</w:t>
      </w:r>
      <w:r w:rsidR="00B53953" w:rsidRPr="00D55DA8">
        <w:rPr>
          <w:lang w:val="en-US"/>
        </w:rPr>
        <w:t xml:space="preserve"> These models must be interpreted with caution as they are more useful to detect whether there is a change in the </w:t>
      </w:r>
      <w:r w:rsidR="00CF217C" w:rsidRPr="00D55DA8">
        <w:rPr>
          <w:lang w:val="en-US"/>
        </w:rPr>
        <w:t xml:space="preserve">sign and size of the </w:t>
      </w:r>
      <w:r w:rsidR="00B53953" w:rsidRPr="00D55DA8">
        <w:rPr>
          <w:lang w:val="en-US"/>
        </w:rPr>
        <w:t xml:space="preserve">coefficient over time than to obtain precise estimates. </w:t>
      </w:r>
      <w:r w:rsidR="00C7575B" w:rsidRPr="00D55DA8">
        <w:rPr>
          <w:lang w:val="en-US"/>
        </w:rPr>
        <w:t>E</w:t>
      </w:r>
      <w:r w:rsidR="00B53953" w:rsidRPr="00D55DA8">
        <w:rPr>
          <w:lang w:val="en-US"/>
        </w:rPr>
        <w:t xml:space="preserve">ven if the true coefficients are constant, the estimated coefficients may display random fluctuations (Lebo and Box-Steffensmeier 2008). Moreover, sample errors can be </w:t>
      </w:r>
      <w:r w:rsidR="009E5485" w:rsidRPr="00D55DA8">
        <w:rPr>
          <w:lang w:val="en-US"/>
        </w:rPr>
        <w:t>important</w:t>
      </w:r>
      <w:r w:rsidR="00B53953" w:rsidRPr="00D55DA8">
        <w:rPr>
          <w:lang w:val="en-US"/>
        </w:rPr>
        <w:t xml:space="preserve"> since </w:t>
      </w:r>
      <w:r w:rsidR="0036752B" w:rsidRPr="00D55DA8">
        <w:rPr>
          <w:lang w:val="en-US"/>
        </w:rPr>
        <w:t>we</w:t>
      </w:r>
      <w:r w:rsidR="00B53953" w:rsidRPr="00D55DA8">
        <w:rPr>
          <w:lang w:val="en-US"/>
        </w:rPr>
        <w:t xml:space="preserve"> are estimating a short series (T=50), </w:t>
      </w:r>
      <w:r w:rsidR="00264873" w:rsidRPr="00D55DA8">
        <w:rPr>
          <w:lang w:val="en-US"/>
        </w:rPr>
        <w:t xml:space="preserve">thus </w:t>
      </w:r>
      <w:r w:rsidR="0036752B" w:rsidRPr="00D55DA8">
        <w:rPr>
          <w:lang w:val="en-US"/>
        </w:rPr>
        <w:t>explaining</w:t>
      </w:r>
      <w:r w:rsidR="00B53953" w:rsidRPr="00D55DA8">
        <w:rPr>
          <w:lang w:val="en-US"/>
        </w:rPr>
        <w:t xml:space="preserve"> the large confidence intervals.</w:t>
      </w:r>
    </w:p>
    <w:p w14:paraId="709054F3" w14:textId="01EF081D" w:rsidR="003A44B7" w:rsidRPr="00D55DA8" w:rsidRDefault="00B53953" w:rsidP="00E21C2A">
      <w:pPr>
        <w:spacing w:line="480" w:lineRule="auto"/>
        <w:ind w:firstLine="708"/>
        <w:jc w:val="both"/>
        <w:rPr>
          <w:lang w:val="en-US"/>
        </w:rPr>
      </w:pPr>
      <w:r w:rsidRPr="00D55DA8">
        <w:rPr>
          <w:lang w:val="en-US"/>
        </w:rPr>
        <w:t xml:space="preserve">Figure 4 reveals a clear change in the coefficient of net lending: it </w:t>
      </w:r>
      <w:r w:rsidR="00AF3FDB" w:rsidRPr="00D55DA8">
        <w:rPr>
          <w:lang w:val="en-US"/>
        </w:rPr>
        <w:t>is</w:t>
      </w:r>
      <w:r w:rsidRPr="00D55DA8">
        <w:rPr>
          <w:lang w:val="en-US"/>
        </w:rPr>
        <w:t xml:space="preserve"> negative in the 1970s and 1980s, becomes positive </w:t>
      </w:r>
      <w:r w:rsidR="0036752B" w:rsidRPr="00D55DA8">
        <w:rPr>
          <w:lang w:val="en-US"/>
        </w:rPr>
        <w:t>at the</w:t>
      </w:r>
      <w:r w:rsidR="007305E1" w:rsidRPr="00D55DA8">
        <w:rPr>
          <w:lang w:val="en-US"/>
        </w:rPr>
        <w:t xml:space="preserve"> window </w:t>
      </w:r>
      <w:r w:rsidR="0036752B" w:rsidRPr="00D55DA8">
        <w:rPr>
          <w:lang w:val="en-US"/>
        </w:rPr>
        <w:t>starting in</w:t>
      </w:r>
      <w:r w:rsidR="007305E1" w:rsidRPr="00D55DA8">
        <w:rPr>
          <w:lang w:val="en-US"/>
        </w:rPr>
        <w:t xml:space="preserve"> 1990 (which goes up to the early 2000s)</w:t>
      </w:r>
      <w:r w:rsidRPr="00D55DA8">
        <w:rPr>
          <w:lang w:val="en-US"/>
        </w:rPr>
        <w:t xml:space="preserve"> and significant around </w:t>
      </w:r>
      <w:r w:rsidR="007305E1" w:rsidRPr="00D55DA8">
        <w:rPr>
          <w:lang w:val="en-US"/>
        </w:rPr>
        <w:t xml:space="preserve">the window </w:t>
      </w:r>
      <w:r w:rsidRPr="00D55DA8">
        <w:rPr>
          <w:lang w:val="en-US"/>
        </w:rPr>
        <w:t>starting in 1993</w:t>
      </w:r>
      <w:r w:rsidR="0036752B" w:rsidRPr="00D55DA8">
        <w:rPr>
          <w:lang w:val="en-US"/>
        </w:rPr>
        <w:t>,</w:t>
      </w:r>
      <w:r w:rsidRPr="00D55DA8">
        <w:rPr>
          <w:lang w:val="en-US"/>
        </w:rPr>
        <w:t xml:space="preserve"> </w:t>
      </w:r>
      <w:r w:rsidR="0036752B" w:rsidRPr="00D55DA8">
        <w:rPr>
          <w:lang w:val="en-US"/>
        </w:rPr>
        <w:t>staying</w:t>
      </w:r>
      <w:r w:rsidRPr="00D55DA8">
        <w:rPr>
          <w:lang w:val="en-US"/>
        </w:rPr>
        <w:t xml:space="preserve"> positive </w:t>
      </w:r>
      <w:r w:rsidR="0036752B" w:rsidRPr="00D55DA8">
        <w:rPr>
          <w:lang w:val="en-US"/>
        </w:rPr>
        <w:t>until</w:t>
      </w:r>
      <w:r w:rsidR="00821ECF" w:rsidRPr="00D55DA8">
        <w:rPr>
          <w:lang w:val="en-US"/>
        </w:rPr>
        <w:t xml:space="preserve"> </w:t>
      </w:r>
      <w:r w:rsidR="007305E1" w:rsidRPr="00D55DA8">
        <w:rPr>
          <w:lang w:val="en-US"/>
        </w:rPr>
        <w:t xml:space="preserve">the moving window </w:t>
      </w:r>
      <w:r w:rsidR="0036752B" w:rsidRPr="00D55DA8">
        <w:rPr>
          <w:lang w:val="en-US"/>
        </w:rPr>
        <w:t>ranging from</w:t>
      </w:r>
      <w:r w:rsidR="007305E1" w:rsidRPr="00D55DA8">
        <w:rPr>
          <w:lang w:val="en-US"/>
        </w:rPr>
        <w:t xml:space="preserve"> 2003 </w:t>
      </w:r>
      <w:r w:rsidR="0036752B" w:rsidRPr="00D55DA8">
        <w:rPr>
          <w:lang w:val="en-US"/>
        </w:rPr>
        <w:t>to</w:t>
      </w:r>
      <w:r w:rsidR="007305E1" w:rsidRPr="00D55DA8">
        <w:rPr>
          <w:lang w:val="en-US"/>
        </w:rPr>
        <w:t xml:space="preserve"> 2015. </w:t>
      </w:r>
      <w:r w:rsidR="00134F1D" w:rsidRPr="00D55DA8">
        <w:rPr>
          <w:lang w:val="en-US"/>
        </w:rPr>
        <w:t>This confirms the results of table 1:</w:t>
      </w:r>
      <w:r w:rsidRPr="00D55DA8">
        <w:rPr>
          <w:lang w:val="en-US"/>
        </w:rPr>
        <w:t xml:space="preserve"> </w:t>
      </w:r>
      <w:r w:rsidR="00134F1D" w:rsidRPr="00D55DA8">
        <w:rPr>
          <w:lang w:val="en-US"/>
        </w:rPr>
        <w:t xml:space="preserve">from 1993, the </w:t>
      </w:r>
      <w:r w:rsidRPr="00D55DA8">
        <w:rPr>
          <w:lang w:val="en-US"/>
        </w:rPr>
        <w:t xml:space="preserve">government </w:t>
      </w:r>
      <w:r w:rsidR="00134F1D" w:rsidRPr="00D55DA8">
        <w:rPr>
          <w:lang w:val="en-US"/>
        </w:rPr>
        <w:t>was</w:t>
      </w:r>
      <w:r w:rsidRPr="00D55DA8">
        <w:rPr>
          <w:lang w:val="en-US"/>
        </w:rPr>
        <w:t xml:space="preserve"> rewarded for tightening the fiscal balance</w:t>
      </w:r>
      <w:r w:rsidR="00134F1D" w:rsidRPr="00D55DA8">
        <w:rPr>
          <w:lang w:val="en-US"/>
        </w:rPr>
        <w:t xml:space="preserve">, especially during the </w:t>
      </w:r>
      <w:r w:rsidR="00821ECF" w:rsidRPr="00D55DA8">
        <w:rPr>
          <w:lang w:val="en-US"/>
        </w:rPr>
        <w:t xml:space="preserve">Jean </w:t>
      </w:r>
      <w:r w:rsidR="00134F1D" w:rsidRPr="00D55DA8">
        <w:rPr>
          <w:lang w:val="en-US"/>
        </w:rPr>
        <w:t xml:space="preserve">Chrétien and </w:t>
      </w:r>
      <w:r w:rsidR="00821ECF" w:rsidRPr="00D55DA8">
        <w:rPr>
          <w:lang w:val="en-US"/>
        </w:rPr>
        <w:t xml:space="preserve">Paul </w:t>
      </w:r>
      <w:r w:rsidR="00134F1D" w:rsidRPr="00D55DA8">
        <w:rPr>
          <w:lang w:val="en-US"/>
        </w:rPr>
        <w:t>Martin era. Afterwards, the size and significance of the net lending coefficient decrease</w:t>
      </w:r>
      <w:r w:rsidRPr="00D55DA8">
        <w:rPr>
          <w:lang w:val="en-US"/>
        </w:rPr>
        <w:t xml:space="preserve">. </w:t>
      </w:r>
      <w:r w:rsidR="007305E1" w:rsidRPr="00D55DA8">
        <w:rPr>
          <w:lang w:val="en-US"/>
        </w:rPr>
        <w:t xml:space="preserve">The drop in the coefficient in the last moving window </w:t>
      </w:r>
      <w:r w:rsidR="00821ECF" w:rsidRPr="00D55DA8">
        <w:rPr>
          <w:lang w:val="en-US"/>
        </w:rPr>
        <w:t xml:space="preserve">indicates </w:t>
      </w:r>
      <w:r w:rsidR="007305E1" w:rsidRPr="00D55DA8">
        <w:rPr>
          <w:lang w:val="en-US"/>
        </w:rPr>
        <w:t>that the popularity of the Trudeau government did</w:t>
      </w:r>
      <w:r w:rsidR="00821ECF" w:rsidRPr="00D55DA8">
        <w:rPr>
          <w:lang w:val="en-US"/>
        </w:rPr>
        <w:t xml:space="preserve"> </w:t>
      </w:r>
      <w:r w:rsidR="007305E1" w:rsidRPr="00D55DA8">
        <w:rPr>
          <w:lang w:val="en-US"/>
        </w:rPr>
        <w:t>n</w:t>
      </w:r>
      <w:r w:rsidR="00821ECF" w:rsidRPr="00D55DA8">
        <w:rPr>
          <w:lang w:val="en-US"/>
        </w:rPr>
        <w:t>o</w:t>
      </w:r>
      <w:r w:rsidR="007305E1" w:rsidRPr="00D55DA8">
        <w:rPr>
          <w:lang w:val="en-US"/>
        </w:rPr>
        <w:t>t decline with budget deficits</w:t>
      </w:r>
      <w:r w:rsidR="00E21C2A" w:rsidRPr="00D55DA8">
        <w:rPr>
          <w:rStyle w:val="Appeldenotedefin"/>
          <w:lang w:val="en-US"/>
        </w:rPr>
        <w:endnoteReference w:id="9"/>
      </w:r>
      <w:r w:rsidR="00E21C2A" w:rsidRPr="00D55DA8">
        <w:rPr>
          <w:lang w:val="en-US"/>
        </w:rPr>
        <w:t>.</w:t>
      </w:r>
    </w:p>
    <w:p w14:paraId="06476EA9" w14:textId="3CFD7835" w:rsidR="00B53953" w:rsidRPr="00D55DA8" w:rsidRDefault="00B53953" w:rsidP="00E21C2A">
      <w:pPr>
        <w:spacing w:line="480" w:lineRule="auto"/>
        <w:jc w:val="both"/>
        <w:rPr>
          <w:lang w:val="en-US"/>
        </w:rPr>
      </w:pPr>
    </w:p>
    <w:p w14:paraId="62F96D6E" w14:textId="15E80F8C" w:rsidR="00A40F80" w:rsidRPr="00D55DA8" w:rsidRDefault="00A40F80" w:rsidP="00E21C2A">
      <w:pPr>
        <w:spacing w:line="480" w:lineRule="auto"/>
        <w:jc w:val="both"/>
        <w:rPr>
          <w:lang w:val="en-US"/>
        </w:rPr>
      </w:pPr>
    </w:p>
    <w:p w14:paraId="02A927A2" w14:textId="2E62270D" w:rsidR="00A40F80" w:rsidRPr="00D55DA8" w:rsidRDefault="00A40F80" w:rsidP="00E21C2A">
      <w:pPr>
        <w:spacing w:line="480" w:lineRule="auto"/>
        <w:jc w:val="both"/>
        <w:rPr>
          <w:lang w:val="en-US"/>
        </w:rPr>
      </w:pPr>
    </w:p>
    <w:p w14:paraId="2181867C" w14:textId="01110C68" w:rsidR="000369CF" w:rsidRPr="00D55DA8" w:rsidRDefault="000369CF" w:rsidP="00E21C2A">
      <w:pPr>
        <w:spacing w:line="480" w:lineRule="auto"/>
        <w:jc w:val="both"/>
        <w:rPr>
          <w:lang w:val="en-US"/>
        </w:rPr>
      </w:pPr>
    </w:p>
    <w:p w14:paraId="06159E98" w14:textId="0671D22A" w:rsidR="000369CF" w:rsidRPr="00D55DA8" w:rsidRDefault="000369CF" w:rsidP="00E21C2A">
      <w:pPr>
        <w:spacing w:line="480" w:lineRule="auto"/>
        <w:jc w:val="both"/>
        <w:rPr>
          <w:lang w:val="en-US"/>
        </w:rPr>
      </w:pPr>
    </w:p>
    <w:p w14:paraId="579842EC" w14:textId="074C3201" w:rsidR="000369CF" w:rsidRPr="00D55DA8" w:rsidRDefault="000369CF" w:rsidP="00E21C2A">
      <w:pPr>
        <w:spacing w:line="480" w:lineRule="auto"/>
        <w:jc w:val="both"/>
        <w:rPr>
          <w:lang w:val="en-US"/>
        </w:rPr>
      </w:pPr>
    </w:p>
    <w:p w14:paraId="1126FF59" w14:textId="201EA88A" w:rsidR="000369CF" w:rsidRPr="00D55DA8" w:rsidRDefault="000369CF" w:rsidP="00E21C2A">
      <w:pPr>
        <w:spacing w:line="480" w:lineRule="auto"/>
        <w:jc w:val="both"/>
        <w:rPr>
          <w:lang w:val="en-US"/>
        </w:rPr>
      </w:pPr>
    </w:p>
    <w:p w14:paraId="05970EFA" w14:textId="77777777" w:rsidR="000369CF" w:rsidRPr="00D55DA8" w:rsidRDefault="000369CF" w:rsidP="00E21C2A">
      <w:pPr>
        <w:spacing w:line="480" w:lineRule="auto"/>
        <w:jc w:val="both"/>
        <w:rPr>
          <w:lang w:val="en-US"/>
        </w:rPr>
      </w:pPr>
    </w:p>
    <w:p w14:paraId="64828ECC" w14:textId="2F5BAB0A" w:rsidR="00B53953" w:rsidRPr="00D55DA8" w:rsidRDefault="00B53953" w:rsidP="00472F16">
      <w:pPr>
        <w:spacing w:line="360" w:lineRule="auto"/>
        <w:jc w:val="both"/>
        <w:rPr>
          <w:b/>
          <w:bCs/>
          <w:lang w:val="en-US"/>
        </w:rPr>
      </w:pPr>
      <w:r w:rsidRPr="00D55DA8">
        <w:rPr>
          <w:b/>
          <w:bCs/>
          <w:lang w:val="en-US"/>
        </w:rPr>
        <w:lastRenderedPageBreak/>
        <w:t xml:space="preserve">Figure </w:t>
      </w:r>
      <w:r w:rsidR="00134F1D" w:rsidRPr="00D55DA8">
        <w:rPr>
          <w:b/>
          <w:bCs/>
          <w:lang w:val="en-US"/>
        </w:rPr>
        <w:t>4</w:t>
      </w:r>
      <w:r w:rsidRPr="00D55DA8">
        <w:rPr>
          <w:b/>
          <w:bCs/>
          <w:lang w:val="en-US"/>
        </w:rPr>
        <w:t xml:space="preserve">. </w:t>
      </w:r>
      <w:r w:rsidR="00DB1522" w:rsidRPr="00D55DA8">
        <w:rPr>
          <w:b/>
          <w:bCs/>
          <w:lang w:val="en-US"/>
        </w:rPr>
        <w:t>E</w:t>
      </w:r>
      <w:r w:rsidR="00DC2F54" w:rsidRPr="00D55DA8">
        <w:rPr>
          <w:b/>
          <w:bCs/>
          <w:lang w:val="en-US"/>
        </w:rPr>
        <w:t xml:space="preserve">ffect of net lending on </w:t>
      </w:r>
      <w:r w:rsidR="006260CE" w:rsidRPr="00D55DA8">
        <w:rPr>
          <w:b/>
          <w:bCs/>
          <w:color w:val="000000" w:themeColor="text1"/>
          <w:lang w:val="en-US"/>
        </w:rPr>
        <w:t>executive</w:t>
      </w:r>
      <w:r w:rsidR="006260CE" w:rsidRPr="00D55DA8">
        <w:rPr>
          <w:color w:val="000000" w:themeColor="text1"/>
          <w:lang w:val="en-US"/>
        </w:rPr>
        <w:t xml:space="preserve"> </w:t>
      </w:r>
      <w:r w:rsidR="00DC2F54" w:rsidRPr="00D55DA8">
        <w:rPr>
          <w:b/>
          <w:bCs/>
          <w:lang w:val="en-US"/>
        </w:rPr>
        <w:t>approval, r</w:t>
      </w:r>
      <w:r w:rsidRPr="00D55DA8">
        <w:rPr>
          <w:b/>
          <w:bCs/>
          <w:lang w:val="en-US"/>
        </w:rPr>
        <w:t>olling regression, moving window of 50, coefficient (</w:t>
      </w:r>
      <w:r w:rsidR="00DC3E8C" w:rsidRPr="00D55DA8">
        <w:rPr>
          <w:b/>
          <w:bCs/>
          <w:lang w:val="en-US"/>
        </w:rPr>
        <w:t>solid</w:t>
      </w:r>
      <w:r w:rsidRPr="00D55DA8">
        <w:rPr>
          <w:b/>
          <w:bCs/>
          <w:lang w:val="en-US"/>
        </w:rPr>
        <w:t xml:space="preserve"> line), with </w:t>
      </w:r>
      <w:r w:rsidR="00DC3E8C" w:rsidRPr="00D55DA8">
        <w:rPr>
          <w:b/>
          <w:bCs/>
          <w:lang w:val="en-US"/>
        </w:rPr>
        <w:t>95% confidence intervals</w:t>
      </w:r>
      <w:r w:rsidR="00DC2F54" w:rsidRPr="00D55DA8">
        <w:rPr>
          <w:b/>
          <w:bCs/>
          <w:lang w:val="en-US"/>
        </w:rPr>
        <w:t>.</w:t>
      </w:r>
    </w:p>
    <w:p w14:paraId="4C3AE453" w14:textId="242740CA" w:rsidR="00F65CB6" w:rsidRPr="00D55DA8" w:rsidRDefault="00611D9E" w:rsidP="00472F16">
      <w:pPr>
        <w:spacing w:line="480" w:lineRule="auto"/>
        <w:jc w:val="center"/>
        <w:rPr>
          <w:b/>
          <w:bCs/>
          <w:lang w:val="en-US"/>
        </w:rPr>
      </w:pPr>
      <w:r w:rsidRPr="00D55DA8">
        <w:rPr>
          <w:lang w:val="en-US"/>
        </w:rPr>
        <w:br/>
      </w:r>
      <w:r w:rsidR="00DC3E8C" w:rsidRPr="00D55DA8">
        <w:rPr>
          <w:b/>
          <w:bCs/>
          <w:noProof/>
          <w:lang w:val="en-US"/>
        </w:rPr>
        <w:drawing>
          <wp:inline distT="0" distB="0" distL="0" distR="0" wp14:anchorId="10ED3856" wp14:editId="7797027F">
            <wp:extent cx="5029200" cy="365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9200" cy="3657600"/>
                    </a:xfrm>
                    <a:prstGeom prst="rect">
                      <a:avLst/>
                    </a:prstGeom>
                  </pic:spPr>
                </pic:pic>
              </a:graphicData>
            </a:graphic>
          </wp:inline>
        </w:drawing>
      </w:r>
    </w:p>
    <w:p w14:paraId="7AF44942" w14:textId="51EBE348" w:rsidR="00611D9E" w:rsidRPr="00D55DA8" w:rsidRDefault="00611D9E" w:rsidP="00E21C2A">
      <w:pPr>
        <w:spacing w:line="480" w:lineRule="auto"/>
        <w:rPr>
          <w:lang w:val="en-US"/>
        </w:rPr>
      </w:pPr>
      <w:r w:rsidRPr="00D55DA8">
        <w:rPr>
          <w:b/>
          <w:bCs/>
          <w:lang w:val="en-US"/>
        </w:rPr>
        <w:t>Conclusion</w:t>
      </w:r>
    </w:p>
    <w:p w14:paraId="2182434B" w14:textId="77777777" w:rsidR="00A33D34" w:rsidRPr="00D55DA8" w:rsidRDefault="00A33D34" w:rsidP="00E21C2A">
      <w:pPr>
        <w:spacing w:line="480" w:lineRule="auto"/>
        <w:rPr>
          <w:lang w:val="en-US"/>
        </w:rPr>
      </w:pPr>
    </w:p>
    <w:p w14:paraId="1551BCED" w14:textId="698FA532" w:rsidR="000F474C" w:rsidRPr="00D55DA8" w:rsidRDefault="004C0AC4" w:rsidP="00472F16">
      <w:pPr>
        <w:spacing w:line="480" w:lineRule="auto"/>
        <w:jc w:val="both"/>
        <w:rPr>
          <w:lang w:val="en-US"/>
        </w:rPr>
      </w:pPr>
      <w:r w:rsidRPr="00D55DA8">
        <w:rPr>
          <w:lang w:val="en-US"/>
        </w:rPr>
        <w:t xml:space="preserve">This research note confirms that public opinion towards </w:t>
      </w:r>
      <w:r w:rsidR="00CA283A" w:rsidRPr="00D55DA8">
        <w:rPr>
          <w:lang w:val="en-US"/>
        </w:rPr>
        <w:t xml:space="preserve">the </w:t>
      </w:r>
      <w:r w:rsidRPr="00D55DA8">
        <w:rPr>
          <w:lang w:val="en-US"/>
        </w:rPr>
        <w:t xml:space="preserve">budget deficit has shifted along with the change in </w:t>
      </w:r>
      <w:r w:rsidR="00CA283A" w:rsidRPr="00D55DA8">
        <w:rPr>
          <w:lang w:val="en-US"/>
        </w:rPr>
        <w:t xml:space="preserve">the </w:t>
      </w:r>
      <w:r w:rsidRPr="00D55DA8">
        <w:rPr>
          <w:lang w:val="en-US"/>
        </w:rPr>
        <w:t>fiscal policy paradigm achieved in Canada during the 1990s</w:t>
      </w:r>
      <w:r w:rsidR="00B53953" w:rsidRPr="00D55DA8">
        <w:rPr>
          <w:lang w:val="en-US"/>
        </w:rPr>
        <w:t xml:space="preserve">. </w:t>
      </w:r>
      <w:r w:rsidRPr="00D55DA8">
        <w:rPr>
          <w:lang w:val="en-US"/>
        </w:rPr>
        <w:t>Both public opinion and fiscal policy exhibited a deficit bias during the 1970s and 1980s</w:t>
      </w:r>
      <w:r w:rsidR="00683602" w:rsidRPr="00D55DA8">
        <w:rPr>
          <w:lang w:val="en-US"/>
        </w:rPr>
        <w:t>: while the</w:t>
      </w:r>
      <w:r w:rsidRPr="00D55DA8">
        <w:rPr>
          <w:lang w:val="en-US"/>
        </w:rPr>
        <w:t xml:space="preserve"> government was unable to balance budgets</w:t>
      </w:r>
      <w:r w:rsidR="00683602" w:rsidRPr="00D55DA8">
        <w:rPr>
          <w:lang w:val="en-US"/>
        </w:rPr>
        <w:t xml:space="preserve">, </w:t>
      </w:r>
      <w:r w:rsidRPr="00D55DA8">
        <w:rPr>
          <w:lang w:val="en-US"/>
        </w:rPr>
        <w:t xml:space="preserve">the public was rewarding governments for higher deficits </w:t>
      </w:r>
      <w:r w:rsidR="00683602" w:rsidRPr="00D55DA8">
        <w:rPr>
          <w:lang w:val="en-US"/>
        </w:rPr>
        <w:t>which</w:t>
      </w:r>
      <w:r w:rsidRPr="00D55DA8">
        <w:rPr>
          <w:lang w:val="en-US"/>
        </w:rPr>
        <w:t xml:space="preserve"> could sustain additional public spending and lower taxes. As deficits became unsustainable during the economic crisis of the early 1990s, the federal government shifted its policy paradigm and </w:t>
      </w:r>
      <w:r w:rsidR="00683602" w:rsidRPr="00D55DA8">
        <w:rPr>
          <w:lang w:val="en-US"/>
        </w:rPr>
        <w:t>implemented a severe fiscal consolidation</w:t>
      </w:r>
      <w:r w:rsidR="00821ECF" w:rsidRPr="00D55DA8">
        <w:rPr>
          <w:lang w:val="en-US"/>
        </w:rPr>
        <w:t xml:space="preserve"> program</w:t>
      </w:r>
      <w:r w:rsidRPr="00D55DA8">
        <w:rPr>
          <w:lang w:val="en-US"/>
        </w:rPr>
        <w:t xml:space="preserve">, while citizens became eagerly concerned about </w:t>
      </w:r>
      <w:r w:rsidR="00DC2F54" w:rsidRPr="00D55DA8">
        <w:rPr>
          <w:lang w:val="en-US"/>
        </w:rPr>
        <w:t>public debt</w:t>
      </w:r>
      <w:r w:rsidRPr="00D55DA8">
        <w:rPr>
          <w:lang w:val="en-US"/>
        </w:rPr>
        <w:t xml:space="preserve">. Since then, sustaining budgetary balance has been the primary fiscal objective of the state, at least until the election of the Trudeau government in 2015. At the same time, Canadians started to reward governments for tightening the </w:t>
      </w:r>
      <w:r w:rsidRPr="00D55DA8">
        <w:rPr>
          <w:lang w:val="en-US"/>
        </w:rPr>
        <w:lastRenderedPageBreak/>
        <w:t>budgetary balance and to support fiscal discipline</w:t>
      </w:r>
      <w:r w:rsidR="00C7575B" w:rsidRPr="00D55DA8">
        <w:rPr>
          <w:lang w:val="en-US"/>
        </w:rPr>
        <w:t>.</w:t>
      </w:r>
      <w:r w:rsidR="00DC2F54" w:rsidRPr="00D55DA8">
        <w:rPr>
          <w:lang w:val="en-US"/>
        </w:rPr>
        <w:t xml:space="preserve"> </w:t>
      </w:r>
      <w:r w:rsidR="00C7575B" w:rsidRPr="00D55DA8">
        <w:rPr>
          <w:lang w:val="en-US"/>
        </w:rPr>
        <w:t>C</w:t>
      </w:r>
      <w:r w:rsidRPr="00D55DA8">
        <w:rPr>
          <w:lang w:val="en-US"/>
        </w:rPr>
        <w:t>itizens</w:t>
      </w:r>
      <w:r w:rsidR="00AF3FDB" w:rsidRPr="00D55DA8">
        <w:rPr>
          <w:lang w:val="en-US"/>
        </w:rPr>
        <w:t>’</w:t>
      </w:r>
      <w:r w:rsidRPr="00D55DA8">
        <w:rPr>
          <w:lang w:val="en-US"/>
        </w:rPr>
        <w:t xml:space="preserve"> “deficit bias” morphed into an “austerity bias”.</w:t>
      </w:r>
      <w:r w:rsidR="000F474C" w:rsidRPr="00D55DA8">
        <w:rPr>
          <w:lang w:val="en-US"/>
        </w:rPr>
        <w:t xml:space="preserve"> Fu</w:t>
      </w:r>
      <w:r w:rsidR="00821ECF" w:rsidRPr="00D55DA8">
        <w:rPr>
          <w:lang w:val="en-US"/>
        </w:rPr>
        <w:t>rther</w:t>
      </w:r>
      <w:r w:rsidR="000F474C" w:rsidRPr="00D55DA8">
        <w:rPr>
          <w:lang w:val="en-US"/>
        </w:rPr>
        <w:t xml:space="preserve"> research should analyze if this national-level pattern holds at the regional level by including provincial-level policy and opinion </w:t>
      </w:r>
      <w:r w:rsidR="001F7F25" w:rsidRPr="00D55DA8">
        <w:rPr>
          <w:lang w:val="en-US"/>
        </w:rPr>
        <w:t>data</w:t>
      </w:r>
      <w:r w:rsidR="000F474C" w:rsidRPr="00D55DA8">
        <w:rPr>
          <w:lang w:val="en-US"/>
        </w:rPr>
        <w:t xml:space="preserve">.  </w:t>
      </w:r>
    </w:p>
    <w:p w14:paraId="71D1FA73" w14:textId="6EC38F09" w:rsidR="000F474C" w:rsidRPr="00D55DA8" w:rsidRDefault="004C0AC4" w:rsidP="00E21C2A">
      <w:pPr>
        <w:spacing w:line="480" w:lineRule="auto"/>
        <w:ind w:firstLine="708"/>
        <w:jc w:val="both"/>
        <w:rPr>
          <w:lang w:val="en-US"/>
        </w:rPr>
      </w:pPr>
      <w:r w:rsidRPr="00D55DA8">
        <w:rPr>
          <w:lang w:val="en-US"/>
        </w:rPr>
        <w:t xml:space="preserve">Not only is this </w:t>
      </w:r>
      <w:r w:rsidR="00C7575B" w:rsidRPr="00D55DA8">
        <w:rPr>
          <w:lang w:val="en-US"/>
        </w:rPr>
        <w:t xml:space="preserve">the first </w:t>
      </w:r>
      <w:r w:rsidRPr="00D55DA8">
        <w:rPr>
          <w:lang w:val="en-US"/>
        </w:rPr>
        <w:t xml:space="preserve">study to model the impact of budget deficits and of the economy on Canada’s federal </w:t>
      </w:r>
      <w:r w:rsidR="006260CE" w:rsidRPr="00D55DA8">
        <w:rPr>
          <w:lang w:val="en-US"/>
        </w:rPr>
        <w:t>executive</w:t>
      </w:r>
      <w:r w:rsidRPr="00D55DA8">
        <w:rPr>
          <w:lang w:val="en-US"/>
        </w:rPr>
        <w:t xml:space="preserve"> approval, but we also offer a broader contribution to the comparative political economy literature by showing that changes in policy paradigm</w:t>
      </w:r>
      <w:r w:rsidR="00CA283A" w:rsidRPr="00D55DA8">
        <w:rPr>
          <w:lang w:val="en-US"/>
        </w:rPr>
        <w:t>s</w:t>
      </w:r>
      <w:r w:rsidRPr="00D55DA8">
        <w:rPr>
          <w:lang w:val="en-US"/>
        </w:rPr>
        <w:t xml:space="preserve"> are accompanied by shifts in public opinion. </w:t>
      </w:r>
      <w:r w:rsidR="00AD6993" w:rsidRPr="00D55DA8">
        <w:rPr>
          <w:lang w:val="en-US"/>
        </w:rPr>
        <w:t xml:space="preserve">This study’s objective was not to disentangle whether public opinion drives policy changes or if policy changes influence public opinion, as the relationship is certainly endogenous. </w:t>
      </w:r>
      <w:r w:rsidR="000F474C" w:rsidRPr="00D55DA8">
        <w:rPr>
          <w:lang w:val="en-US"/>
        </w:rPr>
        <w:t xml:space="preserve">Future research should </w:t>
      </w:r>
      <w:r w:rsidR="00486034" w:rsidRPr="00D55DA8">
        <w:rPr>
          <w:lang w:val="en-US"/>
        </w:rPr>
        <w:t xml:space="preserve">aim to identify </w:t>
      </w:r>
      <w:r w:rsidR="000F474C" w:rsidRPr="00D55DA8">
        <w:rPr>
          <w:lang w:val="en-US"/>
        </w:rPr>
        <w:t>the direction of the causal chain between policy changes and public preferences.</w:t>
      </w:r>
    </w:p>
    <w:p w14:paraId="5555A1C7" w14:textId="6D690AD8" w:rsidR="004C0AC4" w:rsidRPr="00D55DA8" w:rsidRDefault="00C7575B" w:rsidP="00E21C2A">
      <w:pPr>
        <w:spacing w:line="480" w:lineRule="auto"/>
        <w:ind w:firstLine="708"/>
        <w:jc w:val="both"/>
        <w:rPr>
          <w:lang w:val="en-US"/>
        </w:rPr>
      </w:pPr>
      <w:r w:rsidRPr="00D55DA8">
        <w:rPr>
          <w:lang w:val="en-US"/>
        </w:rPr>
        <w:t>W</w:t>
      </w:r>
      <w:r w:rsidR="00AD6993" w:rsidRPr="00D55DA8">
        <w:rPr>
          <w:lang w:val="en-US"/>
        </w:rPr>
        <w:t>hile we cannot systematically assess if policy paradigms feedback into public opinion, we were able to identi</w:t>
      </w:r>
      <w:r w:rsidRPr="00D55DA8">
        <w:rPr>
          <w:lang w:val="en-US"/>
        </w:rPr>
        <w:t>f</w:t>
      </w:r>
      <w:r w:rsidR="00AD6993" w:rsidRPr="00D55DA8">
        <w:rPr>
          <w:lang w:val="en-US"/>
        </w:rPr>
        <w:t xml:space="preserve">y a structural break in </w:t>
      </w:r>
      <w:r w:rsidRPr="00D55DA8">
        <w:rPr>
          <w:lang w:val="en-US"/>
        </w:rPr>
        <w:t xml:space="preserve">how </w:t>
      </w:r>
      <w:r w:rsidR="00AD6993" w:rsidRPr="00D55DA8">
        <w:rPr>
          <w:lang w:val="en-US"/>
        </w:rPr>
        <w:t xml:space="preserve">public opinion </w:t>
      </w:r>
      <w:r w:rsidRPr="00D55DA8">
        <w:rPr>
          <w:lang w:val="en-US"/>
        </w:rPr>
        <w:t>reacts to budget deficits</w:t>
      </w:r>
      <w:r w:rsidR="00735850" w:rsidRPr="00D55DA8">
        <w:rPr>
          <w:lang w:val="en-US"/>
        </w:rPr>
        <w:t xml:space="preserve">. </w:t>
      </w:r>
      <w:r w:rsidR="00AD6993" w:rsidRPr="00D55DA8">
        <w:rPr>
          <w:lang w:val="en-US"/>
        </w:rPr>
        <w:t>This would suggest that policy paradigms</w:t>
      </w:r>
      <w:r w:rsidR="00972037" w:rsidRPr="00D55DA8">
        <w:rPr>
          <w:lang w:val="en-US"/>
        </w:rPr>
        <w:t xml:space="preserve"> </w:t>
      </w:r>
      <w:r w:rsidR="00E9735E" w:rsidRPr="00D55DA8">
        <w:rPr>
          <w:lang w:val="en-US"/>
        </w:rPr>
        <w:t>are durable</w:t>
      </w:r>
      <w:r w:rsidR="00972037" w:rsidRPr="00D55DA8">
        <w:rPr>
          <w:lang w:val="en-US"/>
        </w:rPr>
        <w:t xml:space="preserve"> because new policies put in place influence the public’s preference</w:t>
      </w:r>
      <w:r w:rsidR="00E9735E" w:rsidRPr="00D55DA8">
        <w:rPr>
          <w:lang w:val="en-US"/>
        </w:rPr>
        <w:t xml:space="preserve">, while public opinion feeds back to support the entrenched </w:t>
      </w:r>
      <w:r w:rsidR="00972037" w:rsidRPr="00D55DA8">
        <w:rPr>
          <w:lang w:val="en-US"/>
        </w:rPr>
        <w:t>policy paradigm</w:t>
      </w:r>
      <w:r w:rsidRPr="00D55DA8">
        <w:rPr>
          <w:lang w:val="en-US"/>
        </w:rPr>
        <w:t>, creating a self-reinforcing dynamic</w:t>
      </w:r>
      <w:r w:rsidR="00972037" w:rsidRPr="00D55DA8">
        <w:rPr>
          <w:lang w:val="en-US"/>
        </w:rPr>
        <w:t>. Canadians</w:t>
      </w:r>
      <w:r w:rsidR="00CA283A" w:rsidRPr="00D55DA8">
        <w:rPr>
          <w:lang w:val="en-US"/>
        </w:rPr>
        <w:t>’</w:t>
      </w:r>
      <w:r w:rsidR="00972037" w:rsidRPr="00D55DA8">
        <w:rPr>
          <w:lang w:val="en-US"/>
        </w:rPr>
        <w:t xml:space="preserve"> continued support for fiscal discipline may explain why the government of Canada was able to maintain a surplus for over 10 years</w:t>
      </w:r>
      <w:r w:rsidR="00DC2F54" w:rsidRPr="00D55DA8">
        <w:rPr>
          <w:lang w:val="en-US"/>
        </w:rPr>
        <w:t xml:space="preserve"> from 1997 to 2007</w:t>
      </w:r>
      <w:r w:rsidR="00972037" w:rsidRPr="00D55DA8">
        <w:rPr>
          <w:lang w:val="en-US"/>
        </w:rPr>
        <w:t xml:space="preserve">. </w:t>
      </w:r>
    </w:p>
    <w:p w14:paraId="2AE2F00B" w14:textId="1443D778" w:rsidR="001E6296" w:rsidRPr="00D55DA8" w:rsidRDefault="00972037" w:rsidP="00A929E3">
      <w:pPr>
        <w:spacing w:line="480" w:lineRule="auto"/>
        <w:ind w:firstLine="708"/>
        <w:jc w:val="both"/>
        <w:rPr>
          <w:b/>
          <w:bCs/>
          <w:lang w:val="en-US"/>
        </w:rPr>
      </w:pPr>
      <w:r w:rsidRPr="00D55DA8">
        <w:rPr>
          <w:lang w:val="en-US"/>
        </w:rPr>
        <w:t>To conclude, we note that Canadians’ austerity bias may be fading. Table 1</w:t>
      </w:r>
      <w:r w:rsidR="00683602" w:rsidRPr="00D55DA8">
        <w:rPr>
          <w:lang w:val="en-US"/>
        </w:rPr>
        <w:t xml:space="preserve"> </w:t>
      </w:r>
      <w:r w:rsidR="00F7679B" w:rsidRPr="00D55DA8">
        <w:rPr>
          <w:lang w:val="en-US"/>
        </w:rPr>
        <w:t xml:space="preserve">and the rolling regressions </w:t>
      </w:r>
      <w:r w:rsidR="00821ECF" w:rsidRPr="00D55DA8">
        <w:rPr>
          <w:lang w:val="en-US"/>
        </w:rPr>
        <w:t xml:space="preserve">both </w:t>
      </w:r>
      <w:r w:rsidRPr="00D55DA8">
        <w:rPr>
          <w:lang w:val="en-US"/>
        </w:rPr>
        <w:t xml:space="preserve">revealed that the positive </w:t>
      </w:r>
      <w:r w:rsidR="00047401" w:rsidRPr="00D55DA8">
        <w:rPr>
          <w:lang w:val="en-US"/>
        </w:rPr>
        <w:t>short</w:t>
      </w:r>
      <w:r w:rsidR="00821ECF" w:rsidRPr="00D55DA8">
        <w:rPr>
          <w:lang w:val="en-US"/>
        </w:rPr>
        <w:t>-</w:t>
      </w:r>
      <w:r w:rsidR="00047401" w:rsidRPr="00D55DA8">
        <w:rPr>
          <w:lang w:val="en-US"/>
        </w:rPr>
        <w:t xml:space="preserve">term effect </w:t>
      </w:r>
      <w:r w:rsidRPr="00D55DA8">
        <w:rPr>
          <w:lang w:val="en-US"/>
        </w:rPr>
        <w:t xml:space="preserve">of an improvement to the budget balance was much stronger during the Chrétien/Martin era than during the full 1993-2018 period, suggesting that the </w:t>
      </w:r>
      <w:r w:rsidR="00735850" w:rsidRPr="00D55DA8">
        <w:rPr>
          <w:lang w:val="en-US"/>
        </w:rPr>
        <w:t xml:space="preserve">popularity of </w:t>
      </w:r>
      <w:r w:rsidRPr="00D55DA8">
        <w:rPr>
          <w:lang w:val="en-US"/>
        </w:rPr>
        <w:t xml:space="preserve">Harper and Trudeau </w:t>
      </w:r>
      <w:r w:rsidR="00735850" w:rsidRPr="00D55DA8">
        <w:rPr>
          <w:lang w:val="en-US"/>
        </w:rPr>
        <w:t>was</w:t>
      </w:r>
      <w:r w:rsidRPr="00D55DA8">
        <w:rPr>
          <w:lang w:val="en-US"/>
        </w:rPr>
        <w:t xml:space="preserve"> less influenced by budget deficits. Indeed, the Trudeau government was able to position itself as the </w:t>
      </w:r>
      <w:r w:rsidR="00DC2F54" w:rsidRPr="00D55DA8">
        <w:rPr>
          <w:lang w:val="en-US"/>
        </w:rPr>
        <w:t xml:space="preserve">main </w:t>
      </w:r>
      <w:r w:rsidR="001F7F25" w:rsidRPr="00D55DA8">
        <w:rPr>
          <w:lang w:val="en-US"/>
        </w:rPr>
        <w:t>center</w:t>
      </w:r>
      <w:r w:rsidRPr="00D55DA8">
        <w:rPr>
          <w:lang w:val="en-US"/>
        </w:rPr>
        <w:t xml:space="preserve">-left alternative to the Conservatives by breaking with the </w:t>
      </w:r>
      <w:r w:rsidR="00DC2F54" w:rsidRPr="00D55DA8">
        <w:rPr>
          <w:lang w:val="en-US"/>
        </w:rPr>
        <w:t xml:space="preserve">fiscal </w:t>
      </w:r>
      <w:r w:rsidRPr="00D55DA8">
        <w:rPr>
          <w:lang w:val="en-US"/>
        </w:rPr>
        <w:t xml:space="preserve">orthodoxy </w:t>
      </w:r>
      <w:r w:rsidR="00AD6993" w:rsidRPr="00D55DA8">
        <w:rPr>
          <w:lang w:val="en-US"/>
        </w:rPr>
        <w:t xml:space="preserve">when it proposed </w:t>
      </w:r>
      <w:r w:rsidR="00486034" w:rsidRPr="00D55DA8">
        <w:rPr>
          <w:lang w:val="en-US"/>
        </w:rPr>
        <w:t xml:space="preserve">higher deficits to finance </w:t>
      </w:r>
      <w:r w:rsidR="00AD6993" w:rsidRPr="00D55DA8">
        <w:rPr>
          <w:lang w:val="en-US"/>
        </w:rPr>
        <w:t>additional public spending</w:t>
      </w:r>
      <w:r w:rsidRPr="00D55DA8">
        <w:rPr>
          <w:lang w:val="en-US"/>
        </w:rPr>
        <w:t xml:space="preserve">. </w:t>
      </w:r>
      <w:r w:rsidR="00683602" w:rsidRPr="00D55DA8">
        <w:rPr>
          <w:lang w:val="en-US"/>
        </w:rPr>
        <w:t xml:space="preserve">The COVID-19 </w:t>
      </w:r>
      <w:r w:rsidR="00821ECF" w:rsidRPr="00D55DA8">
        <w:rPr>
          <w:lang w:val="en-US"/>
        </w:rPr>
        <w:t xml:space="preserve">pandemic </w:t>
      </w:r>
      <w:r w:rsidR="00683602" w:rsidRPr="00D55DA8">
        <w:rPr>
          <w:lang w:val="en-US"/>
        </w:rPr>
        <w:t xml:space="preserve">may be the event </w:t>
      </w:r>
      <w:r w:rsidR="00821ECF" w:rsidRPr="00D55DA8">
        <w:rPr>
          <w:lang w:val="en-US"/>
        </w:rPr>
        <w:t xml:space="preserve">that </w:t>
      </w:r>
      <w:r w:rsidR="00683602" w:rsidRPr="00D55DA8">
        <w:rPr>
          <w:lang w:val="en-US"/>
        </w:rPr>
        <w:t>trigger</w:t>
      </w:r>
      <w:r w:rsidR="00821ECF" w:rsidRPr="00D55DA8">
        <w:rPr>
          <w:lang w:val="en-US"/>
        </w:rPr>
        <w:t>s</w:t>
      </w:r>
      <w:r w:rsidR="00683602" w:rsidRPr="00D55DA8">
        <w:rPr>
          <w:lang w:val="en-US"/>
        </w:rPr>
        <w:t xml:space="preserve"> a</w:t>
      </w:r>
      <w:r w:rsidR="00821ECF" w:rsidRPr="00D55DA8">
        <w:rPr>
          <w:lang w:val="en-US"/>
        </w:rPr>
        <w:t>nother</w:t>
      </w:r>
      <w:r w:rsidR="00683602" w:rsidRPr="00D55DA8">
        <w:rPr>
          <w:lang w:val="en-US"/>
        </w:rPr>
        <w:t xml:space="preserve"> shift in fiscal policy paradigm, as many mainstream international economic institutions </w:t>
      </w:r>
      <w:r w:rsidR="00B15796" w:rsidRPr="00D55DA8">
        <w:rPr>
          <w:lang w:val="en-US"/>
        </w:rPr>
        <w:t xml:space="preserve">have </w:t>
      </w:r>
      <w:r w:rsidR="00683602" w:rsidRPr="00D55DA8">
        <w:rPr>
          <w:lang w:val="en-US"/>
        </w:rPr>
        <w:t>call</w:t>
      </w:r>
      <w:r w:rsidR="00B15796" w:rsidRPr="00D55DA8">
        <w:rPr>
          <w:lang w:val="en-US"/>
        </w:rPr>
        <w:t>ed</w:t>
      </w:r>
      <w:r w:rsidR="00683602" w:rsidRPr="00D55DA8">
        <w:rPr>
          <w:lang w:val="en-US"/>
        </w:rPr>
        <w:t xml:space="preserve"> </w:t>
      </w:r>
      <w:r w:rsidR="00DC2F54" w:rsidRPr="00D55DA8">
        <w:rPr>
          <w:lang w:val="en-US"/>
        </w:rPr>
        <w:t xml:space="preserve">on </w:t>
      </w:r>
      <w:r w:rsidR="00683602" w:rsidRPr="00D55DA8">
        <w:rPr>
          <w:lang w:val="en-US"/>
        </w:rPr>
        <w:t xml:space="preserve">governments to further increase spending to sustain the economic recovery. If the government of Canada continues to </w:t>
      </w:r>
      <w:r w:rsidR="00DC2F54" w:rsidRPr="00D55DA8">
        <w:rPr>
          <w:lang w:val="en-US"/>
        </w:rPr>
        <w:t>promote</w:t>
      </w:r>
      <w:r w:rsidR="00683602" w:rsidRPr="00D55DA8">
        <w:rPr>
          <w:lang w:val="en-US"/>
        </w:rPr>
        <w:t xml:space="preserve"> expansionist fiscal policies and </w:t>
      </w:r>
      <w:r w:rsidR="00DC2F54" w:rsidRPr="00D55DA8">
        <w:rPr>
          <w:lang w:val="en-US"/>
        </w:rPr>
        <w:t xml:space="preserve">decides to </w:t>
      </w:r>
      <w:r w:rsidR="00683602" w:rsidRPr="00D55DA8">
        <w:rPr>
          <w:lang w:val="en-US"/>
        </w:rPr>
        <w:t xml:space="preserve">forego budget discipline, we may well </w:t>
      </w:r>
      <w:r w:rsidR="00DC2F54" w:rsidRPr="00D55DA8">
        <w:rPr>
          <w:lang w:val="en-US"/>
        </w:rPr>
        <w:t>observe</w:t>
      </w:r>
      <w:r w:rsidR="00683602" w:rsidRPr="00D55DA8">
        <w:rPr>
          <w:lang w:val="en-US"/>
        </w:rPr>
        <w:t xml:space="preserve"> public opinion revert</w:t>
      </w:r>
      <w:r w:rsidR="00AF3FDB" w:rsidRPr="00D55DA8">
        <w:rPr>
          <w:lang w:val="en-US"/>
        </w:rPr>
        <w:t>ing</w:t>
      </w:r>
      <w:r w:rsidR="00683602" w:rsidRPr="00D55DA8">
        <w:rPr>
          <w:lang w:val="en-US"/>
        </w:rPr>
        <w:t xml:space="preserve"> to a deficit </w:t>
      </w:r>
      <w:r w:rsidR="00683602" w:rsidRPr="00D55DA8">
        <w:rPr>
          <w:lang w:val="en-US"/>
        </w:rPr>
        <w:lastRenderedPageBreak/>
        <w:t>bias</w:t>
      </w:r>
      <w:r w:rsidR="00DC2F54" w:rsidRPr="00D55DA8">
        <w:rPr>
          <w:lang w:val="en-US"/>
        </w:rPr>
        <w:t xml:space="preserve"> in the next few years</w:t>
      </w:r>
      <w:r w:rsidR="00683602" w:rsidRPr="00D55DA8">
        <w:rPr>
          <w:lang w:val="en-US"/>
        </w:rPr>
        <w:t xml:space="preserve">. </w:t>
      </w:r>
      <w:r w:rsidR="00660822" w:rsidRPr="00D55DA8">
        <w:rPr>
          <w:lang w:val="en-US"/>
        </w:rPr>
        <w:t>At the same time</w:t>
      </w:r>
      <w:r w:rsidR="00C54EC1" w:rsidRPr="00D55DA8">
        <w:rPr>
          <w:lang w:val="en-US"/>
        </w:rPr>
        <w:t xml:space="preserve">, </w:t>
      </w:r>
      <w:r w:rsidR="0005787A" w:rsidRPr="00D55DA8">
        <w:rPr>
          <w:lang w:val="en-US"/>
        </w:rPr>
        <w:t xml:space="preserve">it </w:t>
      </w:r>
      <w:r w:rsidR="00E855B5" w:rsidRPr="00D55DA8">
        <w:rPr>
          <w:lang w:val="en-US"/>
        </w:rPr>
        <w:t xml:space="preserve">seems that </w:t>
      </w:r>
      <w:r w:rsidR="00C54EC1" w:rsidRPr="00D55DA8">
        <w:rPr>
          <w:lang w:val="en-US"/>
        </w:rPr>
        <w:t xml:space="preserve">the pandemic may have also made Canadians </w:t>
      </w:r>
      <w:r w:rsidR="00072524" w:rsidRPr="00D55DA8">
        <w:rPr>
          <w:lang w:val="en-US"/>
        </w:rPr>
        <w:t xml:space="preserve">slightly </w:t>
      </w:r>
      <w:r w:rsidR="00C54EC1" w:rsidRPr="00D55DA8">
        <w:rPr>
          <w:lang w:val="en-US"/>
        </w:rPr>
        <w:t xml:space="preserve">more willing to support new taxes </w:t>
      </w:r>
      <w:r w:rsidR="00A929E3" w:rsidRPr="00D55DA8">
        <w:rPr>
          <w:lang w:val="en-US"/>
        </w:rPr>
        <w:t>to fund new spending and to reduce the deficits</w:t>
      </w:r>
      <w:r w:rsidR="00C54EC1" w:rsidRPr="00D55DA8">
        <w:rPr>
          <w:lang w:val="en-US"/>
        </w:rPr>
        <w:t xml:space="preserve"> spurred by this sudden shock to the economy (see </w:t>
      </w:r>
      <w:proofErr w:type="spellStart"/>
      <w:r w:rsidR="00C54EC1" w:rsidRPr="00D55DA8">
        <w:rPr>
          <w:lang w:val="en-US"/>
        </w:rPr>
        <w:t>Lachapelle</w:t>
      </w:r>
      <w:proofErr w:type="spellEnd"/>
      <w:r w:rsidR="00C54EC1" w:rsidRPr="00D55DA8">
        <w:rPr>
          <w:lang w:val="en-US"/>
        </w:rPr>
        <w:t xml:space="preserve"> et al. 2021)</w:t>
      </w:r>
      <w:r w:rsidR="00A929E3" w:rsidRPr="00D55DA8">
        <w:rPr>
          <w:lang w:val="en-US"/>
        </w:rPr>
        <w:t>.</w:t>
      </w:r>
    </w:p>
    <w:p w14:paraId="4F123708" w14:textId="77777777" w:rsidR="00A929E3" w:rsidRPr="00D55DA8" w:rsidRDefault="00A929E3" w:rsidP="00E21C2A">
      <w:pPr>
        <w:spacing w:line="480" w:lineRule="auto"/>
        <w:rPr>
          <w:b/>
          <w:bCs/>
          <w:lang w:val="en-US"/>
        </w:rPr>
      </w:pPr>
    </w:p>
    <w:p w14:paraId="4B5CA79C" w14:textId="62937C3E" w:rsidR="00B53953" w:rsidRPr="00D55DA8" w:rsidRDefault="00B53953" w:rsidP="00E21C2A">
      <w:pPr>
        <w:spacing w:line="480" w:lineRule="auto"/>
        <w:rPr>
          <w:b/>
          <w:bCs/>
          <w:lang w:val="en-US"/>
        </w:rPr>
      </w:pPr>
      <w:r w:rsidRPr="00D55DA8">
        <w:rPr>
          <w:b/>
          <w:bCs/>
          <w:lang w:val="en-US"/>
        </w:rPr>
        <w:t>References</w:t>
      </w:r>
    </w:p>
    <w:p w14:paraId="7B23E671" w14:textId="669EF222" w:rsidR="00B53953" w:rsidRPr="00D55DA8" w:rsidRDefault="00B53953" w:rsidP="00E21C2A">
      <w:pPr>
        <w:spacing w:line="480" w:lineRule="auto"/>
        <w:rPr>
          <w:lang w:val="en-US"/>
        </w:rPr>
      </w:pPr>
    </w:p>
    <w:p w14:paraId="5CBA337B" w14:textId="6B3F226A" w:rsidR="00B53953" w:rsidRPr="00D55DA8" w:rsidRDefault="00B53953" w:rsidP="00472F16">
      <w:pPr>
        <w:pStyle w:val="EndNoteBibliography"/>
        <w:spacing w:line="480" w:lineRule="auto"/>
        <w:ind w:left="720" w:hanging="720"/>
        <w:rPr>
          <w:color w:val="000000" w:themeColor="text1"/>
          <w:lang w:val="en-CA"/>
        </w:rPr>
      </w:pPr>
      <w:r w:rsidRPr="00D55DA8">
        <w:rPr>
          <w:color w:val="000000" w:themeColor="text1"/>
        </w:rPr>
        <w:t>Alesina, A</w:t>
      </w:r>
      <w:r w:rsidR="0049150C" w:rsidRPr="00D55DA8">
        <w:rPr>
          <w:color w:val="000000" w:themeColor="text1"/>
        </w:rPr>
        <w:t>lberto</w:t>
      </w:r>
      <w:r w:rsidRPr="00D55DA8">
        <w:rPr>
          <w:color w:val="000000" w:themeColor="text1"/>
        </w:rPr>
        <w:t xml:space="preserve">, </w:t>
      </w:r>
      <w:r w:rsidR="0049150C" w:rsidRPr="00D55DA8">
        <w:rPr>
          <w:color w:val="000000" w:themeColor="text1"/>
        </w:rPr>
        <w:t xml:space="preserve">Carlo </w:t>
      </w:r>
      <w:r w:rsidRPr="00D55DA8">
        <w:rPr>
          <w:color w:val="000000" w:themeColor="text1"/>
        </w:rPr>
        <w:t>Favero</w:t>
      </w:r>
      <w:r w:rsidR="0049150C" w:rsidRPr="00D55DA8">
        <w:rPr>
          <w:color w:val="000000" w:themeColor="text1"/>
        </w:rPr>
        <w:t xml:space="preserve"> and Francesco</w:t>
      </w:r>
      <w:r w:rsidRPr="00D55DA8">
        <w:rPr>
          <w:color w:val="000000" w:themeColor="text1"/>
        </w:rPr>
        <w:t xml:space="preserve"> Giavazzi. 2019. </w:t>
      </w:r>
      <w:r w:rsidRPr="00D55DA8">
        <w:rPr>
          <w:i/>
          <w:color w:val="000000" w:themeColor="text1"/>
          <w:lang w:val="en-CA"/>
        </w:rPr>
        <w:t>Austerity: When It Works and When It Doesn’t</w:t>
      </w:r>
      <w:r w:rsidRPr="00D55DA8">
        <w:rPr>
          <w:color w:val="000000" w:themeColor="text1"/>
          <w:lang w:val="en-CA"/>
        </w:rPr>
        <w:t>. Princeton: Princeton University Press.</w:t>
      </w:r>
    </w:p>
    <w:p w14:paraId="6D54B5DB" w14:textId="6C092D6F" w:rsidR="00B53953" w:rsidRPr="00D55DA8" w:rsidRDefault="00B53953" w:rsidP="00472F16">
      <w:pPr>
        <w:pStyle w:val="EndNoteBibliography"/>
        <w:spacing w:line="480" w:lineRule="auto"/>
        <w:ind w:left="720" w:hanging="720"/>
        <w:rPr>
          <w:color w:val="000000" w:themeColor="text1"/>
          <w:lang w:val="en-CA"/>
        </w:rPr>
      </w:pPr>
      <w:r w:rsidRPr="00D55DA8">
        <w:rPr>
          <w:color w:val="000000" w:themeColor="text1"/>
          <w:lang w:val="en-CA"/>
        </w:rPr>
        <w:t>Anderson, C</w:t>
      </w:r>
      <w:r w:rsidR="0049150C" w:rsidRPr="00D55DA8">
        <w:rPr>
          <w:color w:val="000000" w:themeColor="text1"/>
          <w:lang w:val="en-CA"/>
        </w:rPr>
        <w:t>ameron</w:t>
      </w:r>
      <w:r w:rsidRPr="00D55DA8">
        <w:rPr>
          <w:color w:val="000000" w:themeColor="text1"/>
          <w:lang w:val="en-CA"/>
        </w:rPr>
        <w:t xml:space="preserve">. D. 2008. “Economic Voting, Multilevel Governance and Information in Canada.” </w:t>
      </w:r>
      <w:r w:rsidRPr="00D55DA8">
        <w:rPr>
          <w:i/>
          <w:color w:val="000000" w:themeColor="text1"/>
          <w:lang w:val="en-CA"/>
        </w:rPr>
        <w:t>Canadian Journal of Political Science, 41</w:t>
      </w:r>
      <w:r w:rsidRPr="00D55DA8">
        <w:rPr>
          <w:color w:val="000000" w:themeColor="text1"/>
          <w:lang w:val="en-CA"/>
        </w:rPr>
        <w:t>(2), 329-354.</w:t>
      </w:r>
    </w:p>
    <w:p w14:paraId="1CD27652" w14:textId="22AFA8D4" w:rsidR="000D1717" w:rsidRPr="00D55DA8" w:rsidRDefault="000D1717" w:rsidP="00186AB1">
      <w:pPr>
        <w:spacing w:line="480" w:lineRule="auto"/>
        <w:ind w:left="709" w:hanging="709"/>
        <w:rPr>
          <w:shd w:val="clear" w:color="auto" w:fill="FFFFFF"/>
          <w:lang w:val="en-US"/>
        </w:rPr>
      </w:pPr>
      <w:r w:rsidRPr="00D55DA8">
        <w:rPr>
          <w:shd w:val="clear" w:color="auto" w:fill="FFFFFF"/>
          <w:lang w:val="en-US"/>
        </w:rPr>
        <w:t>Arias, E</w:t>
      </w:r>
      <w:r w:rsidR="0049150C" w:rsidRPr="00D55DA8">
        <w:rPr>
          <w:shd w:val="clear" w:color="auto" w:fill="FFFFFF"/>
          <w:lang w:val="en-US"/>
        </w:rPr>
        <w:t>ric</w:t>
      </w:r>
      <w:r w:rsidR="00275547" w:rsidRPr="00D55DA8">
        <w:rPr>
          <w:shd w:val="clear" w:color="auto" w:fill="FFFFFF"/>
          <w:lang w:val="en-US"/>
        </w:rPr>
        <w:t>,</w:t>
      </w:r>
      <w:r w:rsidR="0049150C" w:rsidRPr="00D55DA8">
        <w:rPr>
          <w:shd w:val="clear" w:color="auto" w:fill="FFFFFF"/>
          <w:lang w:val="en-US"/>
        </w:rPr>
        <w:t xml:space="preserve"> and David </w:t>
      </w:r>
      <w:proofErr w:type="spellStart"/>
      <w:r w:rsidRPr="00D55DA8">
        <w:rPr>
          <w:shd w:val="clear" w:color="auto" w:fill="FFFFFF"/>
          <w:lang w:val="en-US"/>
        </w:rPr>
        <w:t>Stasavage</w:t>
      </w:r>
      <w:proofErr w:type="spellEnd"/>
      <w:r w:rsidRPr="00D55DA8">
        <w:rPr>
          <w:shd w:val="clear" w:color="auto" w:fill="FFFFFF"/>
          <w:lang w:val="en-US"/>
        </w:rPr>
        <w:t>. 2019. “How Large Are the Political Costs of Fiscal Austerity?”</w:t>
      </w:r>
      <w:r w:rsidRPr="00D55DA8">
        <w:rPr>
          <w:rStyle w:val="apple-converted-space"/>
          <w:shd w:val="clear" w:color="auto" w:fill="FFFFFF"/>
          <w:lang w:val="en-US"/>
        </w:rPr>
        <w:t> </w:t>
      </w:r>
      <w:r w:rsidRPr="00D55DA8">
        <w:rPr>
          <w:i/>
          <w:iCs/>
          <w:lang w:val="en-US"/>
        </w:rPr>
        <w:t>The Journal of Politics</w:t>
      </w:r>
      <w:r w:rsidRPr="00D55DA8">
        <w:rPr>
          <w:shd w:val="clear" w:color="auto" w:fill="FFFFFF"/>
          <w:lang w:val="en-US"/>
        </w:rPr>
        <w:t>,</w:t>
      </w:r>
      <w:r w:rsidRPr="00D55DA8">
        <w:rPr>
          <w:rStyle w:val="apple-converted-space"/>
          <w:shd w:val="clear" w:color="auto" w:fill="FFFFFF"/>
          <w:lang w:val="en-US"/>
        </w:rPr>
        <w:t> </w:t>
      </w:r>
      <w:r w:rsidRPr="00D55DA8">
        <w:rPr>
          <w:i/>
          <w:iCs/>
          <w:lang w:val="en-US"/>
        </w:rPr>
        <w:t>81</w:t>
      </w:r>
      <w:r w:rsidRPr="00D55DA8">
        <w:rPr>
          <w:shd w:val="clear" w:color="auto" w:fill="FFFFFF"/>
          <w:lang w:val="en-US"/>
        </w:rPr>
        <w:t>(4), 1517-1522.</w:t>
      </w:r>
    </w:p>
    <w:p w14:paraId="58DF561A" w14:textId="3609E816" w:rsidR="00C67478" w:rsidRPr="00D55DA8" w:rsidRDefault="00C67478" w:rsidP="00C67478">
      <w:pPr>
        <w:pStyle w:val="EndNoteBibliography"/>
        <w:spacing w:line="480" w:lineRule="auto"/>
        <w:ind w:left="720" w:hanging="720"/>
        <w:rPr>
          <w:color w:val="000000" w:themeColor="text1"/>
          <w:lang w:val="en-CA"/>
        </w:rPr>
      </w:pPr>
      <w:r w:rsidRPr="00D55DA8">
        <w:rPr>
          <w:color w:val="000000" w:themeColor="text1"/>
          <w:lang w:val="en-CA"/>
        </w:rPr>
        <w:t xml:space="preserve">Bansak, Kirk, Michael M. Bechtel and Yotam Margalit. 2021. “Why Austerity? The Mass Politics of a Contested Policy.” </w:t>
      </w:r>
      <w:r w:rsidRPr="00D55DA8">
        <w:rPr>
          <w:i/>
          <w:color w:val="000000" w:themeColor="text1"/>
          <w:lang w:val="en-CA"/>
        </w:rPr>
        <w:t>American Political Science Review, 115</w:t>
      </w:r>
      <w:r w:rsidRPr="00D55DA8">
        <w:rPr>
          <w:color w:val="000000" w:themeColor="text1"/>
          <w:lang w:val="en-CA"/>
        </w:rPr>
        <w:t>(2), 486-505.</w:t>
      </w:r>
    </w:p>
    <w:p w14:paraId="39650561" w14:textId="70AACAA4" w:rsidR="00A669BD" w:rsidRPr="00D55DA8" w:rsidRDefault="00A669BD">
      <w:pPr>
        <w:spacing w:line="480" w:lineRule="auto"/>
        <w:ind w:left="709" w:hanging="709"/>
        <w:rPr>
          <w:shd w:val="clear" w:color="auto" w:fill="FFFFFF"/>
          <w:lang w:val="en-US"/>
        </w:rPr>
      </w:pPr>
      <w:r w:rsidRPr="00D55DA8">
        <w:rPr>
          <w:shd w:val="clear" w:color="auto" w:fill="FFFFFF"/>
          <w:lang w:val="en-US"/>
        </w:rPr>
        <w:t>Barnes, L</w:t>
      </w:r>
      <w:r w:rsidR="0049150C" w:rsidRPr="00D55DA8">
        <w:rPr>
          <w:shd w:val="clear" w:color="auto" w:fill="FFFFFF"/>
          <w:lang w:val="en-US"/>
        </w:rPr>
        <w:t>ucy</w:t>
      </w:r>
      <w:r w:rsidRPr="00D55DA8">
        <w:rPr>
          <w:shd w:val="clear" w:color="auto" w:fill="FFFFFF"/>
          <w:lang w:val="en-US"/>
        </w:rPr>
        <w:t xml:space="preserve">, </w:t>
      </w:r>
      <w:r w:rsidR="0049150C" w:rsidRPr="00D55DA8">
        <w:rPr>
          <w:shd w:val="clear" w:color="auto" w:fill="FFFFFF"/>
          <w:lang w:val="en-US"/>
        </w:rPr>
        <w:t>and</w:t>
      </w:r>
      <w:r w:rsidRPr="00D55DA8">
        <w:rPr>
          <w:shd w:val="clear" w:color="auto" w:fill="FFFFFF"/>
          <w:lang w:val="en-US"/>
        </w:rPr>
        <w:t xml:space="preserve"> </w:t>
      </w:r>
      <w:r w:rsidR="0049150C" w:rsidRPr="00D55DA8">
        <w:rPr>
          <w:shd w:val="clear" w:color="auto" w:fill="FFFFFF"/>
          <w:lang w:val="en-US"/>
        </w:rPr>
        <w:t xml:space="preserve">Tim </w:t>
      </w:r>
      <w:r w:rsidRPr="00D55DA8">
        <w:rPr>
          <w:shd w:val="clear" w:color="auto" w:fill="FFFFFF"/>
          <w:lang w:val="en-US"/>
        </w:rPr>
        <w:t>Hicks. 2021. “All Keynesians Now? Public Support for Countercyclical Government Borrowing.” </w:t>
      </w:r>
      <w:r w:rsidRPr="00D55DA8">
        <w:rPr>
          <w:i/>
          <w:iCs/>
          <w:lang w:val="en-US"/>
        </w:rPr>
        <w:t>Political Science Research and Methods</w:t>
      </w:r>
      <w:r w:rsidRPr="00D55DA8">
        <w:rPr>
          <w:shd w:val="clear" w:color="auto" w:fill="FFFFFF"/>
          <w:lang w:val="en-US"/>
        </w:rPr>
        <w:t>, </w:t>
      </w:r>
      <w:r w:rsidRPr="00D55DA8">
        <w:rPr>
          <w:i/>
          <w:iCs/>
          <w:lang w:val="en-US"/>
        </w:rPr>
        <w:t>9</w:t>
      </w:r>
      <w:r w:rsidRPr="00D55DA8">
        <w:rPr>
          <w:shd w:val="clear" w:color="auto" w:fill="FFFFFF"/>
          <w:lang w:val="en-US"/>
        </w:rPr>
        <w:t>(1), 180-188.</w:t>
      </w:r>
    </w:p>
    <w:p w14:paraId="75C05D8C" w14:textId="6BDC5770" w:rsidR="00A669BD" w:rsidRPr="00D55DA8" w:rsidRDefault="00A669BD" w:rsidP="00472F16">
      <w:pPr>
        <w:spacing w:line="480" w:lineRule="auto"/>
        <w:ind w:left="709" w:hanging="709"/>
        <w:rPr>
          <w:lang w:val="en-US"/>
        </w:rPr>
      </w:pPr>
      <w:proofErr w:type="spellStart"/>
      <w:r w:rsidRPr="00D55DA8">
        <w:rPr>
          <w:shd w:val="clear" w:color="auto" w:fill="FFFFFF"/>
          <w:lang w:val="en-US"/>
        </w:rPr>
        <w:t>Barta</w:t>
      </w:r>
      <w:proofErr w:type="spellEnd"/>
      <w:r w:rsidRPr="00D55DA8">
        <w:rPr>
          <w:shd w:val="clear" w:color="auto" w:fill="FFFFFF"/>
          <w:lang w:val="en-US"/>
        </w:rPr>
        <w:t xml:space="preserve">, </w:t>
      </w:r>
      <w:proofErr w:type="spellStart"/>
      <w:r w:rsidRPr="00D55DA8">
        <w:rPr>
          <w:shd w:val="clear" w:color="auto" w:fill="FFFFFF"/>
          <w:lang w:val="en-US"/>
        </w:rPr>
        <w:t>Z</w:t>
      </w:r>
      <w:r w:rsidR="0049150C" w:rsidRPr="00D55DA8">
        <w:rPr>
          <w:shd w:val="clear" w:color="auto" w:fill="FFFFFF"/>
          <w:lang w:val="en-US"/>
        </w:rPr>
        <w:t>sofia</w:t>
      </w:r>
      <w:proofErr w:type="spellEnd"/>
      <w:r w:rsidRPr="00D55DA8">
        <w:rPr>
          <w:shd w:val="clear" w:color="auto" w:fill="FFFFFF"/>
          <w:lang w:val="en-US"/>
        </w:rPr>
        <w:t>. 2018. </w:t>
      </w:r>
      <w:r w:rsidRPr="00D55DA8">
        <w:rPr>
          <w:i/>
          <w:iCs/>
          <w:lang w:val="en-US"/>
        </w:rPr>
        <w:t>In the Red: The Politics of Public Debt Accumulation in Developed Countries</w:t>
      </w:r>
      <w:r w:rsidRPr="00D55DA8">
        <w:rPr>
          <w:shd w:val="clear" w:color="auto" w:fill="FFFFFF"/>
          <w:lang w:val="en-US"/>
        </w:rPr>
        <w:t xml:space="preserve">. </w:t>
      </w:r>
      <w:r w:rsidR="0049150C" w:rsidRPr="00D55DA8">
        <w:rPr>
          <w:shd w:val="clear" w:color="auto" w:fill="FFFFFF"/>
          <w:lang w:val="en-US"/>
        </w:rPr>
        <w:t xml:space="preserve">Ann Arbor: </w:t>
      </w:r>
      <w:r w:rsidRPr="00D55DA8">
        <w:rPr>
          <w:shd w:val="clear" w:color="auto" w:fill="FFFFFF"/>
          <w:lang w:val="en-US"/>
        </w:rPr>
        <w:t>University of Michigan Press</w:t>
      </w:r>
      <w:r w:rsidR="00186AB1" w:rsidRPr="00D55DA8">
        <w:rPr>
          <w:lang w:val="en-US"/>
        </w:rPr>
        <w:t>.</w:t>
      </w:r>
    </w:p>
    <w:p w14:paraId="3B14C3FC" w14:textId="22DDE106" w:rsidR="004B7589" w:rsidRPr="00D55DA8" w:rsidRDefault="004B7589" w:rsidP="00472F16">
      <w:pPr>
        <w:spacing w:line="480" w:lineRule="auto"/>
        <w:ind w:left="709" w:hanging="709"/>
        <w:rPr>
          <w:lang w:val="en-US"/>
        </w:rPr>
      </w:pPr>
      <w:r w:rsidRPr="00D55DA8">
        <w:rPr>
          <w:shd w:val="clear" w:color="auto" w:fill="FFFFFF"/>
          <w:lang w:val="en-US"/>
        </w:rPr>
        <w:t>Beck, N</w:t>
      </w:r>
      <w:r w:rsidR="0049150C" w:rsidRPr="00D55DA8">
        <w:rPr>
          <w:shd w:val="clear" w:color="auto" w:fill="FFFFFF"/>
          <w:lang w:val="en-US"/>
        </w:rPr>
        <w:t>ate</w:t>
      </w:r>
      <w:r w:rsidRPr="00D55DA8">
        <w:rPr>
          <w:shd w:val="clear" w:color="auto" w:fill="FFFFFF"/>
          <w:lang w:val="en-US"/>
        </w:rPr>
        <w:t xml:space="preserve">, </w:t>
      </w:r>
      <w:r w:rsidR="0049150C" w:rsidRPr="00D55DA8">
        <w:rPr>
          <w:shd w:val="clear" w:color="auto" w:fill="FFFFFF"/>
          <w:lang w:val="en-US"/>
        </w:rPr>
        <w:t>and</w:t>
      </w:r>
      <w:r w:rsidRPr="00D55DA8">
        <w:rPr>
          <w:shd w:val="clear" w:color="auto" w:fill="FFFFFF"/>
          <w:lang w:val="en-US"/>
        </w:rPr>
        <w:t xml:space="preserve"> </w:t>
      </w:r>
      <w:r w:rsidR="0049150C" w:rsidRPr="00D55DA8">
        <w:rPr>
          <w:shd w:val="clear" w:color="auto" w:fill="FFFFFF"/>
          <w:lang w:val="en-US"/>
        </w:rPr>
        <w:t xml:space="preserve">Jonathan N. </w:t>
      </w:r>
      <w:r w:rsidRPr="00D55DA8">
        <w:rPr>
          <w:shd w:val="clear" w:color="auto" w:fill="FFFFFF"/>
          <w:lang w:val="en-US"/>
        </w:rPr>
        <w:t>Katz</w:t>
      </w:r>
      <w:r w:rsidR="0049150C" w:rsidRPr="00D55DA8">
        <w:rPr>
          <w:shd w:val="clear" w:color="auto" w:fill="FFFFFF"/>
          <w:lang w:val="en-US"/>
        </w:rPr>
        <w:t>.</w:t>
      </w:r>
      <w:r w:rsidRPr="00D55DA8">
        <w:rPr>
          <w:shd w:val="clear" w:color="auto" w:fill="FFFFFF"/>
          <w:lang w:val="en-US"/>
        </w:rPr>
        <w:t xml:space="preserve"> 2011. “Modeling Dynamics in Time-Series–Cross-Section Political Economy Data.” </w:t>
      </w:r>
      <w:r w:rsidRPr="00D55DA8">
        <w:rPr>
          <w:i/>
          <w:iCs/>
          <w:lang w:val="en-US"/>
        </w:rPr>
        <w:t>Annual Review of Political Science</w:t>
      </w:r>
      <w:r w:rsidRPr="00D55DA8">
        <w:rPr>
          <w:shd w:val="clear" w:color="auto" w:fill="FFFFFF"/>
          <w:lang w:val="en-US"/>
        </w:rPr>
        <w:t>, </w:t>
      </w:r>
      <w:r w:rsidRPr="00D55DA8">
        <w:rPr>
          <w:i/>
          <w:iCs/>
          <w:lang w:val="en-US"/>
        </w:rPr>
        <w:t>14</w:t>
      </w:r>
      <w:r w:rsidRPr="00D55DA8">
        <w:rPr>
          <w:shd w:val="clear" w:color="auto" w:fill="FFFFFF"/>
          <w:lang w:val="en-US"/>
        </w:rPr>
        <w:t>, 331-352.</w:t>
      </w:r>
    </w:p>
    <w:p w14:paraId="2EA344A1" w14:textId="01EB7F09" w:rsidR="00B53953" w:rsidRPr="00D55DA8" w:rsidRDefault="00B53953" w:rsidP="00472F16">
      <w:pPr>
        <w:pStyle w:val="EndNoteBibliography"/>
        <w:spacing w:line="480" w:lineRule="auto"/>
        <w:ind w:left="720" w:hanging="720"/>
        <w:rPr>
          <w:lang w:val="en-CA"/>
        </w:rPr>
      </w:pPr>
      <w:r w:rsidRPr="00D55DA8">
        <w:rPr>
          <w:lang w:val="en-CA"/>
        </w:rPr>
        <w:t>Bélanger, É</w:t>
      </w:r>
      <w:r w:rsidR="0049150C" w:rsidRPr="00D55DA8">
        <w:rPr>
          <w:lang w:val="en-CA"/>
        </w:rPr>
        <w:t>ric</w:t>
      </w:r>
      <w:r w:rsidRPr="00D55DA8">
        <w:rPr>
          <w:lang w:val="en-CA"/>
        </w:rPr>
        <w:t xml:space="preserve">. 2004. “The Rise of Third Parties in the 1993 Canadian Federal Election: Pinard Revisited.” </w:t>
      </w:r>
      <w:r w:rsidRPr="00D55DA8">
        <w:rPr>
          <w:i/>
          <w:iCs/>
          <w:lang w:val="en-CA"/>
        </w:rPr>
        <w:t>Canadian Journal of Political Science, 37</w:t>
      </w:r>
      <w:r w:rsidRPr="00D55DA8">
        <w:rPr>
          <w:lang w:val="en-CA"/>
        </w:rPr>
        <w:t>(3), 581-594.</w:t>
      </w:r>
    </w:p>
    <w:p w14:paraId="22BEF9A2" w14:textId="13277842" w:rsidR="000D1717" w:rsidRPr="00D55DA8" w:rsidRDefault="000D1717" w:rsidP="00472F16">
      <w:pPr>
        <w:spacing w:line="480" w:lineRule="auto"/>
        <w:ind w:left="709" w:hanging="709"/>
        <w:rPr>
          <w:lang w:val="en-US"/>
        </w:rPr>
      </w:pPr>
      <w:proofErr w:type="spellStart"/>
      <w:r w:rsidRPr="00D55DA8">
        <w:rPr>
          <w:shd w:val="clear" w:color="auto" w:fill="FFFFFF"/>
          <w:lang w:val="en-US"/>
        </w:rPr>
        <w:t>Bojar</w:t>
      </w:r>
      <w:proofErr w:type="spellEnd"/>
      <w:r w:rsidRPr="00D55DA8">
        <w:rPr>
          <w:shd w:val="clear" w:color="auto" w:fill="FFFFFF"/>
          <w:lang w:val="en-US"/>
        </w:rPr>
        <w:t>, A</w:t>
      </w:r>
      <w:r w:rsidR="0049150C" w:rsidRPr="00D55DA8">
        <w:rPr>
          <w:shd w:val="clear" w:color="auto" w:fill="FFFFFF"/>
          <w:lang w:val="en-US"/>
        </w:rPr>
        <w:t>bel</w:t>
      </w:r>
      <w:r w:rsidRPr="00D55DA8">
        <w:rPr>
          <w:shd w:val="clear" w:color="auto" w:fill="FFFFFF"/>
          <w:lang w:val="en-US"/>
        </w:rPr>
        <w:t xml:space="preserve">, </w:t>
      </w:r>
      <w:r w:rsidR="0049150C" w:rsidRPr="00D55DA8">
        <w:rPr>
          <w:shd w:val="clear" w:color="auto" w:fill="FFFFFF"/>
          <w:lang w:val="en-US"/>
        </w:rPr>
        <w:t xml:space="preserve">Björn </w:t>
      </w:r>
      <w:r w:rsidRPr="00D55DA8">
        <w:rPr>
          <w:shd w:val="clear" w:color="auto" w:fill="FFFFFF"/>
          <w:lang w:val="en-US"/>
        </w:rPr>
        <w:t xml:space="preserve">Bremer, </w:t>
      </w:r>
      <w:proofErr w:type="spellStart"/>
      <w:r w:rsidR="0049150C" w:rsidRPr="00D55DA8">
        <w:rPr>
          <w:shd w:val="clear" w:color="auto" w:fill="FFFFFF"/>
          <w:lang w:val="en-US"/>
        </w:rPr>
        <w:t>Hanspeter</w:t>
      </w:r>
      <w:proofErr w:type="spellEnd"/>
      <w:r w:rsidR="0049150C" w:rsidRPr="00D55DA8">
        <w:rPr>
          <w:shd w:val="clear" w:color="auto" w:fill="FFFFFF"/>
          <w:lang w:val="en-US"/>
        </w:rPr>
        <w:t xml:space="preserve"> </w:t>
      </w:r>
      <w:proofErr w:type="spellStart"/>
      <w:r w:rsidRPr="00D55DA8">
        <w:rPr>
          <w:shd w:val="clear" w:color="auto" w:fill="FFFFFF"/>
          <w:lang w:val="en-US"/>
        </w:rPr>
        <w:t>Kriesi</w:t>
      </w:r>
      <w:proofErr w:type="spellEnd"/>
      <w:r w:rsidRPr="00D55DA8">
        <w:rPr>
          <w:shd w:val="clear" w:color="auto" w:fill="FFFFFF"/>
          <w:lang w:val="en-US"/>
        </w:rPr>
        <w:t xml:space="preserve"> </w:t>
      </w:r>
      <w:r w:rsidR="0049150C" w:rsidRPr="00D55DA8">
        <w:rPr>
          <w:shd w:val="clear" w:color="auto" w:fill="FFFFFF"/>
          <w:lang w:val="en-US"/>
        </w:rPr>
        <w:t>and</w:t>
      </w:r>
      <w:r w:rsidRPr="00D55DA8">
        <w:rPr>
          <w:shd w:val="clear" w:color="auto" w:fill="FFFFFF"/>
          <w:lang w:val="en-US"/>
        </w:rPr>
        <w:t xml:space="preserve"> </w:t>
      </w:r>
      <w:proofErr w:type="spellStart"/>
      <w:r w:rsidR="0049150C" w:rsidRPr="00D55DA8">
        <w:rPr>
          <w:shd w:val="clear" w:color="auto" w:fill="FFFFFF"/>
          <w:lang w:val="en-US"/>
        </w:rPr>
        <w:t>Chendi</w:t>
      </w:r>
      <w:proofErr w:type="spellEnd"/>
      <w:r w:rsidR="0049150C" w:rsidRPr="00D55DA8">
        <w:rPr>
          <w:shd w:val="clear" w:color="auto" w:fill="FFFFFF"/>
          <w:lang w:val="en-US"/>
        </w:rPr>
        <w:t xml:space="preserve"> </w:t>
      </w:r>
      <w:r w:rsidRPr="00D55DA8">
        <w:rPr>
          <w:shd w:val="clear" w:color="auto" w:fill="FFFFFF"/>
          <w:lang w:val="en-US"/>
        </w:rPr>
        <w:t>Wang</w:t>
      </w:r>
      <w:r w:rsidR="0049150C" w:rsidRPr="00D55DA8">
        <w:rPr>
          <w:shd w:val="clear" w:color="auto" w:fill="FFFFFF"/>
          <w:lang w:val="en-US"/>
        </w:rPr>
        <w:t xml:space="preserve">. </w:t>
      </w:r>
      <w:r w:rsidRPr="00D55DA8">
        <w:rPr>
          <w:shd w:val="clear" w:color="auto" w:fill="FFFFFF"/>
          <w:lang w:val="en-US"/>
        </w:rPr>
        <w:t>2021. “The Effect of Austerity Packages on Government Popularity During the Great Recession”.</w:t>
      </w:r>
      <w:r w:rsidRPr="00D55DA8">
        <w:rPr>
          <w:rStyle w:val="apple-converted-space"/>
          <w:shd w:val="clear" w:color="auto" w:fill="FFFFFF"/>
          <w:lang w:val="en-US"/>
        </w:rPr>
        <w:t> </w:t>
      </w:r>
      <w:r w:rsidRPr="00D55DA8">
        <w:rPr>
          <w:i/>
          <w:iCs/>
          <w:lang w:val="en-US"/>
        </w:rPr>
        <w:t>British Journal of Political Science</w:t>
      </w:r>
      <w:r w:rsidRPr="00D55DA8">
        <w:rPr>
          <w:shd w:val="clear" w:color="auto" w:fill="FFFFFF"/>
          <w:lang w:val="en-US"/>
        </w:rPr>
        <w:t>, 1-19.</w:t>
      </w:r>
    </w:p>
    <w:p w14:paraId="74D13704" w14:textId="3D4E0338" w:rsidR="00B53953" w:rsidRPr="00D55DA8" w:rsidRDefault="00B53953" w:rsidP="00472F16">
      <w:pPr>
        <w:pStyle w:val="EndNoteBibliography"/>
        <w:spacing w:line="480" w:lineRule="auto"/>
        <w:ind w:left="720" w:hanging="720"/>
        <w:rPr>
          <w:color w:val="000000" w:themeColor="text1"/>
          <w:lang w:val="en-CA"/>
        </w:rPr>
      </w:pPr>
      <w:r w:rsidRPr="00D55DA8">
        <w:rPr>
          <w:color w:val="000000" w:themeColor="text1"/>
          <w:shd w:val="clear" w:color="auto" w:fill="FFFFFF"/>
          <w:lang w:val="en-CA"/>
        </w:rPr>
        <w:lastRenderedPageBreak/>
        <w:t>Box-Steffensmeier, J</w:t>
      </w:r>
      <w:r w:rsidR="0049150C" w:rsidRPr="00D55DA8">
        <w:rPr>
          <w:color w:val="000000" w:themeColor="text1"/>
          <w:shd w:val="clear" w:color="auto" w:fill="FFFFFF"/>
          <w:lang w:val="en-CA"/>
        </w:rPr>
        <w:t xml:space="preserve">anet, John R. Freeman, Matthew P. </w:t>
      </w:r>
      <w:r w:rsidRPr="00D55DA8">
        <w:rPr>
          <w:color w:val="000000" w:themeColor="text1"/>
          <w:shd w:val="clear" w:color="auto" w:fill="FFFFFF"/>
          <w:lang w:val="en-CA"/>
        </w:rPr>
        <w:t xml:space="preserve">Hitt </w:t>
      </w:r>
      <w:r w:rsidR="0049150C" w:rsidRPr="00D55DA8">
        <w:rPr>
          <w:color w:val="000000" w:themeColor="text1"/>
          <w:shd w:val="clear" w:color="auto" w:fill="FFFFFF"/>
          <w:lang w:val="en-CA"/>
        </w:rPr>
        <w:t>and</w:t>
      </w:r>
      <w:r w:rsidRPr="00D55DA8">
        <w:rPr>
          <w:color w:val="000000" w:themeColor="text1"/>
          <w:shd w:val="clear" w:color="auto" w:fill="FFFFFF"/>
          <w:lang w:val="en-CA"/>
        </w:rPr>
        <w:t xml:space="preserve"> </w:t>
      </w:r>
      <w:r w:rsidR="0049150C" w:rsidRPr="00D55DA8">
        <w:rPr>
          <w:color w:val="000000" w:themeColor="text1"/>
          <w:shd w:val="clear" w:color="auto" w:fill="FFFFFF"/>
          <w:lang w:val="en-CA"/>
        </w:rPr>
        <w:t xml:space="preserve">Jon C. </w:t>
      </w:r>
      <w:r w:rsidRPr="00D55DA8">
        <w:rPr>
          <w:color w:val="000000" w:themeColor="text1"/>
          <w:shd w:val="clear" w:color="auto" w:fill="FFFFFF"/>
          <w:lang w:val="en-CA"/>
        </w:rPr>
        <w:t>Pevehouse. 2014. </w:t>
      </w:r>
      <w:r w:rsidRPr="00D55DA8">
        <w:rPr>
          <w:i/>
          <w:iCs/>
          <w:color w:val="000000" w:themeColor="text1"/>
          <w:shd w:val="clear" w:color="auto" w:fill="FFFFFF"/>
          <w:lang w:val="en-CA"/>
        </w:rPr>
        <w:t>Time Series Analysis for the Social Sciences</w:t>
      </w:r>
      <w:r w:rsidRPr="00D55DA8">
        <w:rPr>
          <w:color w:val="000000" w:themeColor="text1"/>
          <w:shd w:val="clear" w:color="auto" w:fill="FFFFFF"/>
          <w:lang w:val="en-CA"/>
        </w:rPr>
        <w:t xml:space="preserve">. </w:t>
      </w:r>
      <w:r w:rsidR="0049150C" w:rsidRPr="00D55DA8">
        <w:rPr>
          <w:color w:val="000000" w:themeColor="text1"/>
          <w:shd w:val="clear" w:color="auto" w:fill="FFFFFF"/>
          <w:lang w:val="en-CA"/>
        </w:rPr>
        <w:t xml:space="preserve">New York: </w:t>
      </w:r>
      <w:r w:rsidRPr="00D55DA8">
        <w:rPr>
          <w:color w:val="000000" w:themeColor="text1"/>
          <w:shd w:val="clear" w:color="auto" w:fill="FFFFFF"/>
          <w:lang w:val="en-CA"/>
        </w:rPr>
        <w:t>Cambridge University Press.</w:t>
      </w:r>
    </w:p>
    <w:p w14:paraId="193890C3" w14:textId="4A39D740" w:rsidR="00B53953" w:rsidRPr="00D55DA8" w:rsidRDefault="00B53953" w:rsidP="00472F16">
      <w:pPr>
        <w:pStyle w:val="EndNoteBibliography"/>
        <w:spacing w:line="480" w:lineRule="auto"/>
        <w:ind w:left="720" w:hanging="720"/>
        <w:rPr>
          <w:color w:val="000000" w:themeColor="text1"/>
          <w:lang w:val="en-CA"/>
        </w:rPr>
      </w:pPr>
      <w:r w:rsidRPr="00D55DA8">
        <w:rPr>
          <w:color w:val="000000" w:themeColor="text1"/>
          <w:lang w:val="en-CA"/>
        </w:rPr>
        <w:t>Brender, A</w:t>
      </w:r>
      <w:r w:rsidR="0049150C" w:rsidRPr="00D55DA8">
        <w:rPr>
          <w:color w:val="000000" w:themeColor="text1"/>
          <w:lang w:val="en-CA"/>
        </w:rPr>
        <w:t>di</w:t>
      </w:r>
      <w:r w:rsidRPr="00D55DA8">
        <w:rPr>
          <w:color w:val="000000" w:themeColor="text1"/>
          <w:lang w:val="en-CA"/>
        </w:rPr>
        <w:t xml:space="preserve">, </w:t>
      </w:r>
      <w:r w:rsidR="0049150C" w:rsidRPr="00D55DA8">
        <w:rPr>
          <w:color w:val="000000" w:themeColor="text1"/>
          <w:lang w:val="en-CA"/>
        </w:rPr>
        <w:t>and</w:t>
      </w:r>
      <w:r w:rsidRPr="00D55DA8">
        <w:rPr>
          <w:color w:val="000000" w:themeColor="text1"/>
          <w:lang w:val="en-CA"/>
        </w:rPr>
        <w:t xml:space="preserve"> </w:t>
      </w:r>
      <w:r w:rsidR="0049150C" w:rsidRPr="00D55DA8">
        <w:rPr>
          <w:color w:val="000000" w:themeColor="text1"/>
          <w:lang w:val="en-CA"/>
        </w:rPr>
        <w:t xml:space="preserve">Allan </w:t>
      </w:r>
      <w:r w:rsidRPr="00D55DA8">
        <w:rPr>
          <w:color w:val="000000" w:themeColor="text1"/>
          <w:lang w:val="en-CA"/>
        </w:rPr>
        <w:t>Drazen</w:t>
      </w:r>
      <w:r w:rsidR="0049150C" w:rsidRPr="00D55DA8">
        <w:rPr>
          <w:color w:val="000000" w:themeColor="text1"/>
          <w:lang w:val="en-CA"/>
        </w:rPr>
        <w:t xml:space="preserve">. </w:t>
      </w:r>
      <w:r w:rsidRPr="00D55DA8">
        <w:rPr>
          <w:color w:val="000000" w:themeColor="text1"/>
          <w:lang w:val="en-CA"/>
        </w:rPr>
        <w:t xml:space="preserve">2008. “How do Budget Deficits and Economic Growth Affect Reelection Prospects? Evidence from a Large Panel of Countries.” </w:t>
      </w:r>
      <w:r w:rsidRPr="00D55DA8">
        <w:rPr>
          <w:i/>
          <w:color w:val="000000" w:themeColor="text1"/>
          <w:lang w:val="en-CA"/>
        </w:rPr>
        <w:t>American Economic Review, 98</w:t>
      </w:r>
      <w:r w:rsidRPr="00D55DA8">
        <w:rPr>
          <w:color w:val="000000" w:themeColor="text1"/>
          <w:lang w:val="en-CA"/>
        </w:rPr>
        <w:t>(5), 2203-2220.</w:t>
      </w:r>
    </w:p>
    <w:p w14:paraId="56F092D6" w14:textId="0295DB66" w:rsidR="00A33D34" w:rsidRPr="00D55DA8" w:rsidRDefault="00BE422C" w:rsidP="00472F16">
      <w:pPr>
        <w:pStyle w:val="Default"/>
        <w:spacing w:line="480" w:lineRule="auto"/>
        <w:ind w:left="709" w:hanging="709"/>
        <w:rPr>
          <w:lang w:val="en-US"/>
        </w:rPr>
      </w:pPr>
      <w:proofErr w:type="spellStart"/>
      <w:r w:rsidRPr="00D55DA8">
        <w:rPr>
          <w:color w:val="auto"/>
          <w:lang w:val="en-US"/>
        </w:rPr>
        <w:t>Calmfors</w:t>
      </w:r>
      <w:proofErr w:type="spellEnd"/>
      <w:r w:rsidR="002F2C42" w:rsidRPr="00D55DA8">
        <w:rPr>
          <w:color w:val="auto"/>
          <w:lang w:val="en-US"/>
        </w:rPr>
        <w:t>, L</w:t>
      </w:r>
      <w:r w:rsidR="0049150C" w:rsidRPr="00D55DA8">
        <w:rPr>
          <w:color w:val="auto"/>
          <w:lang w:val="en-US"/>
        </w:rPr>
        <w:t>ars</w:t>
      </w:r>
      <w:r w:rsidR="00275547" w:rsidRPr="00D55DA8">
        <w:rPr>
          <w:color w:val="auto"/>
          <w:lang w:val="en-US"/>
        </w:rPr>
        <w:t>,</w:t>
      </w:r>
      <w:r w:rsidRPr="00D55DA8">
        <w:rPr>
          <w:color w:val="auto"/>
          <w:lang w:val="en-US"/>
        </w:rPr>
        <w:t xml:space="preserve"> and </w:t>
      </w:r>
      <w:r w:rsidR="002F2C42" w:rsidRPr="00D55DA8">
        <w:rPr>
          <w:color w:val="auto"/>
          <w:lang w:val="en-US"/>
        </w:rPr>
        <w:t>S</w:t>
      </w:r>
      <w:r w:rsidR="0049150C" w:rsidRPr="00D55DA8">
        <w:rPr>
          <w:color w:val="auto"/>
          <w:lang w:val="en-US"/>
        </w:rPr>
        <w:t>imon</w:t>
      </w:r>
      <w:r w:rsidR="002F2C42" w:rsidRPr="00D55DA8">
        <w:rPr>
          <w:color w:val="auto"/>
          <w:lang w:val="en-US"/>
        </w:rPr>
        <w:t xml:space="preserve"> </w:t>
      </w:r>
      <w:r w:rsidRPr="00D55DA8">
        <w:rPr>
          <w:color w:val="auto"/>
          <w:lang w:val="en-US"/>
        </w:rPr>
        <w:t>Wren-Lewis</w:t>
      </w:r>
      <w:r w:rsidR="0049150C" w:rsidRPr="00D55DA8">
        <w:rPr>
          <w:color w:val="auto"/>
          <w:lang w:val="en-US"/>
        </w:rPr>
        <w:t xml:space="preserve">. </w:t>
      </w:r>
      <w:r w:rsidRPr="00D55DA8">
        <w:rPr>
          <w:color w:val="auto"/>
          <w:lang w:val="en-US"/>
        </w:rPr>
        <w:t>2010</w:t>
      </w:r>
      <w:r w:rsidR="002F2C42" w:rsidRPr="00D55DA8">
        <w:rPr>
          <w:color w:val="auto"/>
          <w:lang w:val="en-US"/>
        </w:rPr>
        <w:t xml:space="preserve">. “What </w:t>
      </w:r>
      <w:proofErr w:type="spellStart"/>
      <w:r w:rsidR="002F2C42" w:rsidRPr="00D55DA8">
        <w:rPr>
          <w:color w:val="auto"/>
          <w:lang w:val="en-US"/>
        </w:rPr>
        <w:t>Shold</w:t>
      </w:r>
      <w:proofErr w:type="spellEnd"/>
      <w:r w:rsidR="002F2C42" w:rsidRPr="00D55DA8">
        <w:rPr>
          <w:color w:val="auto"/>
          <w:lang w:val="en-US"/>
        </w:rPr>
        <w:t xml:space="preserve"> Fiscal Councils Do?” </w:t>
      </w:r>
      <w:r w:rsidR="002F2C42" w:rsidRPr="00D55DA8">
        <w:rPr>
          <w:i/>
          <w:iCs/>
          <w:color w:val="auto"/>
          <w:lang w:val="en-US"/>
        </w:rPr>
        <w:t>Economic Policy</w:t>
      </w:r>
      <w:r w:rsidR="002F2C42" w:rsidRPr="00D55DA8">
        <w:rPr>
          <w:color w:val="auto"/>
          <w:lang w:val="en-US"/>
        </w:rPr>
        <w:t>, 26(68): 649-695.</w:t>
      </w:r>
    </w:p>
    <w:p w14:paraId="1C05C74F" w14:textId="6D22F99F" w:rsidR="006F2CA7" w:rsidRPr="00D55DA8" w:rsidRDefault="006F2CA7" w:rsidP="00472F16">
      <w:pPr>
        <w:pStyle w:val="Default"/>
        <w:spacing w:line="480" w:lineRule="auto"/>
        <w:ind w:left="709" w:hanging="709"/>
        <w:rPr>
          <w:color w:val="000000" w:themeColor="text1"/>
          <w:lang w:val="en-CA"/>
        </w:rPr>
      </w:pPr>
      <w:r w:rsidRPr="00D55DA8">
        <w:rPr>
          <w:color w:val="auto"/>
          <w:lang w:val="en-CA"/>
        </w:rPr>
        <w:t xml:space="preserve">Carlin, Ryan, Jonathan </w:t>
      </w:r>
      <w:proofErr w:type="spellStart"/>
      <w:r w:rsidRPr="00D55DA8">
        <w:rPr>
          <w:color w:val="auto"/>
          <w:lang w:val="en-CA"/>
        </w:rPr>
        <w:t>Hartlyn</w:t>
      </w:r>
      <w:proofErr w:type="spellEnd"/>
      <w:r w:rsidRPr="00D55DA8">
        <w:rPr>
          <w:color w:val="auto"/>
          <w:lang w:val="en-CA"/>
        </w:rPr>
        <w:t xml:space="preserve">, Tim </w:t>
      </w:r>
      <w:proofErr w:type="spellStart"/>
      <w:r w:rsidRPr="00D55DA8">
        <w:rPr>
          <w:color w:val="auto"/>
          <w:lang w:val="en-CA"/>
        </w:rPr>
        <w:t>Hellwig</w:t>
      </w:r>
      <w:proofErr w:type="spellEnd"/>
      <w:r w:rsidRPr="00D55DA8">
        <w:rPr>
          <w:lang w:val="en-CA"/>
        </w:rPr>
        <w:t xml:space="preserve">, Greg Love, </w:t>
      </w:r>
      <w:proofErr w:type="spellStart"/>
      <w:r w:rsidRPr="00D55DA8">
        <w:rPr>
          <w:lang w:val="en-CA"/>
        </w:rPr>
        <w:t>Cecillia</w:t>
      </w:r>
      <w:proofErr w:type="spellEnd"/>
      <w:r w:rsidRPr="00D55DA8">
        <w:rPr>
          <w:lang w:val="en-CA"/>
        </w:rPr>
        <w:t xml:space="preserve"> Martinez-</w:t>
      </w:r>
      <w:proofErr w:type="gramStart"/>
      <w:r w:rsidRPr="00D55DA8">
        <w:rPr>
          <w:lang w:val="en-CA"/>
        </w:rPr>
        <w:t>Gallardo</w:t>
      </w:r>
      <w:proofErr w:type="gramEnd"/>
      <w:r w:rsidRPr="00D55DA8">
        <w:rPr>
          <w:lang w:val="en-CA"/>
        </w:rPr>
        <w:t xml:space="preserve"> and Matt Singer. 2021. “Introduction to Economics and Politics Revisited: Government Popularity in the 21</w:t>
      </w:r>
      <w:r w:rsidRPr="00D55DA8">
        <w:rPr>
          <w:vertAlign w:val="superscript"/>
          <w:lang w:val="en-CA"/>
        </w:rPr>
        <w:t>st</w:t>
      </w:r>
      <w:r w:rsidRPr="00D55DA8">
        <w:rPr>
          <w:lang w:val="en-CA"/>
        </w:rPr>
        <w:t xml:space="preserve"> Century.” </w:t>
      </w:r>
      <w:r w:rsidRPr="00D55DA8">
        <w:rPr>
          <w:sz w:val="23"/>
          <w:szCs w:val="23"/>
          <w:lang w:val="en-US"/>
        </w:rPr>
        <w:t>Paper prepared for delivery at the “Economics and Politics Revisited” workshop, January 14-15, 2021</w:t>
      </w:r>
    </w:p>
    <w:p w14:paraId="68B46C57" w14:textId="342405B6" w:rsidR="00B53953" w:rsidRPr="00D55DA8" w:rsidRDefault="00B53953" w:rsidP="006E3C39">
      <w:pPr>
        <w:pStyle w:val="EndNoteBibliography"/>
        <w:spacing w:line="480" w:lineRule="auto"/>
        <w:ind w:left="720" w:hanging="720"/>
        <w:rPr>
          <w:color w:val="000000" w:themeColor="text1"/>
          <w:shd w:val="clear" w:color="auto" w:fill="FFFFFF"/>
          <w:lang w:val="en-CA"/>
        </w:rPr>
      </w:pPr>
      <w:r w:rsidRPr="00D55DA8">
        <w:rPr>
          <w:lang w:val="fr-CA"/>
        </w:rPr>
        <w:t xml:space="preserve">Daoust, </w:t>
      </w:r>
      <w:r w:rsidR="0049150C" w:rsidRPr="00D55DA8">
        <w:rPr>
          <w:lang w:val="fr-CA"/>
        </w:rPr>
        <w:t>Jean-François</w:t>
      </w:r>
      <w:r w:rsidR="00275547" w:rsidRPr="00D55DA8">
        <w:rPr>
          <w:lang w:val="fr-CA"/>
        </w:rPr>
        <w:t>,</w:t>
      </w:r>
      <w:r w:rsidR="0049150C" w:rsidRPr="00D55DA8">
        <w:rPr>
          <w:lang w:val="fr-CA"/>
        </w:rPr>
        <w:t xml:space="preserve"> and Ruth</w:t>
      </w:r>
      <w:r w:rsidRPr="00D55DA8">
        <w:rPr>
          <w:lang w:val="fr-CA"/>
        </w:rPr>
        <w:t xml:space="preserve"> Dassonneville. </w:t>
      </w:r>
      <w:r w:rsidRPr="00D55DA8">
        <w:rPr>
          <w:lang w:val="en-CA"/>
        </w:rPr>
        <w:t xml:space="preserve">2018. “Beyond Nationalism and Regionalism: The Stability of Economic Voting in Canada.” </w:t>
      </w:r>
      <w:r w:rsidRPr="00D55DA8">
        <w:rPr>
          <w:i/>
          <w:iCs/>
          <w:lang w:val="en-CA"/>
        </w:rPr>
        <w:t>Canadian Journal of Political Science, 51</w:t>
      </w:r>
      <w:r w:rsidRPr="00D55DA8">
        <w:rPr>
          <w:lang w:val="en-CA"/>
        </w:rPr>
        <w:t>(3), 553-571.</w:t>
      </w:r>
    </w:p>
    <w:p w14:paraId="4D14369D" w14:textId="1B99F732" w:rsidR="00B53953" w:rsidRPr="00D55DA8" w:rsidRDefault="00B53953" w:rsidP="006E3C39">
      <w:pPr>
        <w:pStyle w:val="EndNoteBibliography"/>
        <w:spacing w:line="480" w:lineRule="auto"/>
        <w:ind w:left="720" w:hanging="720"/>
        <w:rPr>
          <w:lang w:val="en-CA"/>
        </w:rPr>
      </w:pPr>
      <w:r w:rsidRPr="00D55DA8">
        <w:t>Gélineau, F</w:t>
      </w:r>
      <w:r w:rsidR="0049150C" w:rsidRPr="00D55DA8">
        <w:t>rançois</w:t>
      </w:r>
      <w:r w:rsidR="00275547" w:rsidRPr="00D55DA8">
        <w:t>,</w:t>
      </w:r>
      <w:r w:rsidRPr="00D55DA8">
        <w:t xml:space="preserve"> </w:t>
      </w:r>
      <w:r w:rsidR="0049150C" w:rsidRPr="00D55DA8">
        <w:t>and</w:t>
      </w:r>
      <w:r w:rsidRPr="00D55DA8">
        <w:t xml:space="preserve"> </w:t>
      </w:r>
      <w:r w:rsidR="0049150C" w:rsidRPr="00D55DA8">
        <w:t xml:space="preserve">Éric </w:t>
      </w:r>
      <w:r w:rsidRPr="00D55DA8">
        <w:t xml:space="preserve">Bélanger. </w:t>
      </w:r>
      <w:r w:rsidRPr="00D55DA8">
        <w:rPr>
          <w:lang w:val="en-CA"/>
        </w:rPr>
        <w:t xml:space="preserve">2005. “Electoral Accountability in a Federal System: National and Provincial Economic Voting in Canada” </w:t>
      </w:r>
      <w:r w:rsidRPr="00D55DA8">
        <w:rPr>
          <w:i/>
          <w:iCs/>
          <w:lang w:val="en-CA"/>
        </w:rPr>
        <w:t>Publius: The Journal of Federalism, 35</w:t>
      </w:r>
      <w:r w:rsidRPr="00D55DA8">
        <w:rPr>
          <w:lang w:val="en-CA"/>
        </w:rPr>
        <w:t>(3), 407-424.</w:t>
      </w:r>
    </w:p>
    <w:p w14:paraId="0B7617DA" w14:textId="31311019" w:rsidR="00EB59D2" w:rsidRPr="00D55DA8" w:rsidRDefault="00B53953" w:rsidP="006E3C39">
      <w:pPr>
        <w:pStyle w:val="EndNoteBibliography"/>
        <w:spacing w:line="480" w:lineRule="auto"/>
        <w:ind w:left="720" w:hanging="720"/>
        <w:rPr>
          <w:color w:val="000000" w:themeColor="text1"/>
          <w:lang w:val="fr-CA"/>
        </w:rPr>
      </w:pPr>
      <w:r w:rsidRPr="00D55DA8">
        <w:rPr>
          <w:color w:val="000000" w:themeColor="text1"/>
          <w:lang w:val="en-CA"/>
        </w:rPr>
        <w:t>Geys, B</w:t>
      </w:r>
      <w:r w:rsidR="0049150C" w:rsidRPr="00D55DA8">
        <w:rPr>
          <w:color w:val="000000" w:themeColor="text1"/>
          <w:lang w:val="en-CA"/>
        </w:rPr>
        <w:t>enny</w:t>
      </w:r>
      <w:r w:rsidR="00275547" w:rsidRPr="00D55DA8">
        <w:rPr>
          <w:color w:val="000000" w:themeColor="text1"/>
          <w:lang w:val="en-CA"/>
        </w:rPr>
        <w:t>,</w:t>
      </w:r>
      <w:r w:rsidRPr="00D55DA8">
        <w:rPr>
          <w:color w:val="000000" w:themeColor="text1"/>
          <w:lang w:val="en-CA"/>
        </w:rPr>
        <w:t xml:space="preserve"> </w:t>
      </w:r>
      <w:r w:rsidR="0049150C" w:rsidRPr="00D55DA8">
        <w:rPr>
          <w:color w:val="000000" w:themeColor="text1"/>
          <w:lang w:val="en-CA"/>
        </w:rPr>
        <w:t>and</w:t>
      </w:r>
      <w:r w:rsidRPr="00D55DA8">
        <w:rPr>
          <w:color w:val="000000" w:themeColor="text1"/>
          <w:lang w:val="en-CA"/>
        </w:rPr>
        <w:t xml:space="preserve"> </w:t>
      </w:r>
      <w:r w:rsidR="0049150C" w:rsidRPr="00D55DA8">
        <w:rPr>
          <w:color w:val="000000" w:themeColor="text1"/>
          <w:lang w:val="en-CA"/>
        </w:rPr>
        <w:t xml:space="preserve">Jan </w:t>
      </w:r>
      <w:r w:rsidRPr="00D55DA8">
        <w:rPr>
          <w:color w:val="000000" w:themeColor="text1"/>
          <w:lang w:val="en-CA"/>
        </w:rPr>
        <w:t>Vermeir</w:t>
      </w:r>
      <w:r w:rsidR="0049150C" w:rsidRPr="00D55DA8">
        <w:rPr>
          <w:color w:val="000000" w:themeColor="text1"/>
          <w:lang w:val="en-CA"/>
        </w:rPr>
        <w:t xml:space="preserve">. </w:t>
      </w:r>
      <w:r w:rsidRPr="00D55DA8">
        <w:rPr>
          <w:color w:val="000000" w:themeColor="text1"/>
          <w:lang w:val="en-CA"/>
        </w:rPr>
        <w:t xml:space="preserve">2008. “Taxation and Presidential Approval: Separate Effects from Tax Burden and Tax Structure Turbulence?” </w:t>
      </w:r>
      <w:r w:rsidRPr="00D55DA8">
        <w:rPr>
          <w:i/>
          <w:iCs/>
          <w:color w:val="000000" w:themeColor="text1"/>
          <w:lang w:val="fr-CA"/>
        </w:rPr>
        <w:t>Public Choice, 135</w:t>
      </w:r>
      <w:r w:rsidRPr="00D55DA8">
        <w:rPr>
          <w:color w:val="000000" w:themeColor="text1"/>
          <w:lang w:val="fr-CA"/>
        </w:rPr>
        <w:t>(3-4), 301-317.</w:t>
      </w:r>
    </w:p>
    <w:p w14:paraId="6697F310" w14:textId="24B93A95" w:rsidR="00EB59D2" w:rsidRPr="00D55DA8" w:rsidRDefault="00EB59D2">
      <w:pPr>
        <w:pStyle w:val="EndNoteBibliography"/>
        <w:spacing w:line="480" w:lineRule="auto"/>
        <w:ind w:left="720" w:hanging="720"/>
        <w:rPr>
          <w:rFonts w:eastAsiaTheme="minorHAnsi"/>
          <w:lang w:val="en-CA" w:eastAsia="en-US"/>
        </w:rPr>
      </w:pPr>
      <w:r w:rsidRPr="00D55DA8">
        <w:rPr>
          <w:rFonts w:eastAsiaTheme="minorHAnsi"/>
          <w:lang w:val="fr-CA" w:eastAsia="en-US"/>
        </w:rPr>
        <w:t xml:space="preserve">Guérin, Daniel, and Richard Nadeau. 1998. “Clivage linguistique et vote économique au Canada.” </w:t>
      </w:r>
      <w:r w:rsidRPr="00D55DA8">
        <w:rPr>
          <w:rFonts w:eastAsiaTheme="minorHAnsi"/>
          <w:i/>
          <w:iCs/>
          <w:lang w:val="en-CA" w:eastAsia="en-US"/>
        </w:rPr>
        <w:t>Canadian Journal of Political Science, 31</w:t>
      </w:r>
      <w:r w:rsidRPr="00D55DA8">
        <w:rPr>
          <w:rFonts w:eastAsiaTheme="minorHAnsi"/>
          <w:lang w:val="en-CA" w:eastAsia="en-US"/>
        </w:rPr>
        <w:t>(</w:t>
      </w:r>
      <w:r w:rsidR="00E64537" w:rsidRPr="00D55DA8">
        <w:rPr>
          <w:rFonts w:eastAsiaTheme="minorHAnsi"/>
          <w:lang w:val="en-CA" w:eastAsia="en-US"/>
        </w:rPr>
        <w:t>3</w:t>
      </w:r>
      <w:r w:rsidRPr="00D55DA8">
        <w:rPr>
          <w:rFonts w:eastAsiaTheme="minorHAnsi"/>
          <w:lang w:val="en-CA" w:eastAsia="en-US"/>
        </w:rPr>
        <w:t>), 557-572.</w:t>
      </w:r>
    </w:p>
    <w:p w14:paraId="7D31CE4E" w14:textId="2E28A266" w:rsidR="00B53953" w:rsidRPr="00D55DA8" w:rsidRDefault="00B53953" w:rsidP="00EB59D2">
      <w:pPr>
        <w:pStyle w:val="EndNoteBibliography"/>
        <w:spacing w:line="480" w:lineRule="auto"/>
        <w:ind w:left="720" w:hanging="720"/>
        <w:rPr>
          <w:color w:val="000000" w:themeColor="text1"/>
          <w:lang w:val="en-CA"/>
        </w:rPr>
      </w:pPr>
      <w:r w:rsidRPr="00D55DA8">
        <w:rPr>
          <w:color w:val="000000" w:themeColor="text1"/>
        </w:rPr>
        <w:t>Haffert, L</w:t>
      </w:r>
      <w:r w:rsidR="0049150C" w:rsidRPr="00D55DA8">
        <w:rPr>
          <w:color w:val="000000" w:themeColor="text1"/>
        </w:rPr>
        <w:t>ukas</w:t>
      </w:r>
      <w:r w:rsidRPr="00D55DA8">
        <w:rPr>
          <w:color w:val="000000" w:themeColor="text1"/>
        </w:rPr>
        <w:t xml:space="preserve">. </w:t>
      </w:r>
      <w:r w:rsidRPr="00D55DA8">
        <w:rPr>
          <w:color w:val="000000" w:themeColor="text1"/>
          <w:lang w:val="en-CA"/>
        </w:rPr>
        <w:t xml:space="preserve">2019. “Permanent Budget Surpluses as a Fiscal Regime.” </w:t>
      </w:r>
      <w:r w:rsidRPr="00D55DA8">
        <w:rPr>
          <w:i/>
          <w:color w:val="000000" w:themeColor="text1"/>
          <w:lang w:val="en-CA"/>
        </w:rPr>
        <w:t>Socio-Economic Review, 17</w:t>
      </w:r>
      <w:r w:rsidRPr="00D55DA8">
        <w:rPr>
          <w:color w:val="000000" w:themeColor="text1"/>
          <w:lang w:val="en-CA"/>
        </w:rPr>
        <w:t>(4), 1043-1063.</w:t>
      </w:r>
    </w:p>
    <w:p w14:paraId="7AC477D9" w14:textId="3DA406FA" w:rsidR="00B53953" w:rsidRPr="00D55DA8" w:rsidRDefault="00B53953" w:rsidP="006E3C39">
      <w:pPr>
        <w:spacing w:line="480" w:lineRule="auto"/>
        <w:ind w:left="450" w:hanging="450"/>
        <w:rPr>
          <w:lang w:val="en-US"/>
        </w:rPr>
      </w:pPr>
      <w:r w:rsidRPr="00D55DA8">
        <w:rPr>
          <w:lang w:val="en-US"/>
        </w:rPr>
        <w:t>Hall, P</w:t>
      </w:r>
      <w:r w:rsidR="0049150C" w:rsidRPr="00D55DA8">
        <w:rPr>
          <w:lang w:val="en-US"/>
        </w:rPr>
        <w:t>eter</w:t>
      </w:r>
      <w:r w:rsidRPr="00D55DA8">
        <w:rPr>
          <w:lang w:val="en-US"/>
        </w:rPr>
        <w:t xml:space="preserve">. 1993. “Policy Paradigms, Social Learning and the State: The Case of Economic Policymaking in Britain.” </w:t>
      </w:r>
      <w:r w:rsidRPr="00D55DA8">
        <w:rPr>
          <w:i/>
          <w:iCs/>
          <w:lang w:val="en-US"/>
        </w:rPr>
        <w:t>Comparative Politics</w:t>
      </w:r>
      <w:r w:rsidR="004E5E5E" w:rsidRPr="00D55DA8">
        <w:rPr>
          <w:i/>
          <w:iCs/>
          <w:lang w:val="en-US"/>
        </w:rPr>
        <w:t>,</w:t>
      </w:r>
      <w:r w:rsidRPr="00D55DA8">
        <w:rPr>
          <w:i/>
          <w:iCs/>
          <w:lang w:val="en-US"/>
        </w:rPr>
        <w:t xml:space="preserve"> 26</w:t>
      </w:r>
      <w:r w:rsidRPr="00D55DA8">
        <w:rPr>
          <w:lang w:val="en-US"/>
        </w:rPr>
        <w:t>(3)</w:t>
      </w:r>
      <w:r w:rsidR="004E5E5E" w:rsidRPr="00D55DA8">
        <w:rPr>
          <w:lang w:val="en-US"/>
        </w:rPr>
        <w:t>,</w:t>
      </w:r>
      <w:r w:rsidRPr="00D55DA8">
        <w:rPr>
          <w:lang w:val="en-US"/>
        </w:rPr>
        <w:t xml:space="preserve"> 275-296.</w:t>
      </w:r>
    </w:p>
    <w:p w14:paraId="663A395F" w14:textId="77777777" w:rsidR="00FF2B6C" w:rsidRPr="00FF2B6C" w:rsidRDefault="00B53953" w:rsidP="00FF2B6C">
      <w:pPr>
        <w:pStyle w:val="EndNoteBibliography"/>
        <w:spacing w:line="480" w:lineRule="auto"/>
        <w:ind w:left="720" w:hanging="720"/>
        <w:rPr>
          <w:color w:val="000000" w:themeColor="text1"/>
          <w:lang w:val="en-CA"/>
        </w:rPr>
      </w:pPr>
      <w:r w:rsidRPr="00FF2B6C">
        <w:rPr>
          <w:color w:val="000000" w:themeColor="text1"/>
          <w:lang w:val="en-CA"/>
        </w:rPr>
        <w:lastRenderedPageBreak/>
        <w:t xml:space="preserve">Happy, J. R. 1992. “The Effect of Economic and Fiscal Performance on Incumbency Voting: The Canadian Case.” </w:t>
      </w:r>
      <w:r w:rsidRPr="00FF2B6C">
        <w:rPr>
          <w:i/>
          <w:iCs/>
          <w:color w:val="000000" w:themeColor="text1"/>
          <w:lang w:val="en-CA"/>
        </w:rPr>
        <w:t>British Journal of Political Science, 22</w:t>
      </w:r>
      <w:r w:rsidRPr="00FF2B6C">
        <w:rPr>
          <w:color w:val="000000" w:themeColor="text1"/>
          <w:lang w:val="en-CA"/>
        </w:rPr>
        <w:t>(1), 117-130</w:t>
      </w:r>
      <w:r w:rsidR="00FF2B6C" w:rsidRPr="00FF2B6C">
        <w:rPr>
          <w:color w:val="000000" w:themeColor="text1"/>
          <w:lang w:val="en-CA"/>
        </w:rPr>
        <w:t>.</w:t>
      </w:r>
    </w:p>
    <w:p w14:paraId="61197C88" w14:textId="21FCED79" w:rsidR="00FF2B6C" w:rsidRPr="00FF2B6C" w:rsidRDefault="00FF2B6C" w:rsidP="00FF2B6C">
      <w:pPr>
        <w:pStyle w:val="EndNoteBibliography"/>
        <w:spacing w:line="480" w:lineRule="auto"/>
        <w:ind w:left="720" w:hanging="720"/>
        <w:rPr>
          <w:color w:val="000000" w:themeColor="text1"/>
          <w:lang w:val="en-CA"/>
        </w:rPr>
      </w:pPr>
      <w:r w:rsidRPr="00FF2B6C">
        <w:t xml:space="preserve">Han, Sung Min and Mi Jeong Shin. 2021. </w:t>
      </w:r>
      <w:r>
        <w:t>“</w:t>
      </w:r>
      <w:r w:rsidRPr="00FF2B6C">
        <w:t>Housing Prices and Government Approval: The Impact of Housing Booms on Left- and Right-Wing Governments in 16 Advanced Industrialized Countries.</w:t>
      </w:r>
      <w:r>
        <w:t>”</w:t>
      </w:r>
      <w:r w:rsidRPr="00FF2B6C">
        <w:t xml:space="preserve"> </w:t>
      </w:r>
      <w:r w:rsidRPr="00FF2B6C">
        <w:rPr>
          <w:i/>
          <w:iCs/>
        </w:rPr>
        <w:t>Canadian Journal of Political Science</w:t>
      </w:r>
      <w:r w:rsidRPr="00FF2B6C">
        <w:t xml:space="preserve">. 54(1): 163-185. </w:t>
      </w:r>
    </w:p>
    <w:p w14:paraId="23B71B82" w14:textId="21E5CDA8" w:rsidR="00B53953" w:rsidRPr="00D55DA8" w:rsidRDefault="00B53953" w:rsidP="006E3C39">
      <w:pPr>
        <w:pStyle w:val="EndNoteBibliography"/>
        <w:spacing w:line="480" w:lineRule="auto"/>
        <w:ind w:left="720" w:hanging="720"/>
        <w:rPr>
          <w:color w:val="000000" w:themeColor="text1"/>
          <w:shd w:val="clear" w:color="auto" w:fill="FFFFFF"/>
          <w:lang w:val="en-CA"/>
        </w:rPr>
      </w:pPr>
      <w:r w:rsidRPr="00FF2B6C">
        <w:rPr>
          <w:color w:val="000000" w:themeColor="text1"/>
          <w:shd w:val="clear" w:color="auto" w:fill="FFFFFF"/>
          <w:lang w:val="en-CA"/>
        </w:rPr>
        <w:t>Jacques, O</w:t>
      </w:r>
      <w:r w:rsidR="0049150C" w:rsidRPr="00FF2B6C">
        <w:rPr>
          <w:color w:val="000000" w:themeColor="text1"/>
          <w:shd w:val="clear" w:color="auto" w:fill="FFFFFF"/>
          <w:lang w:val="en-CA"/>
        </w:rPr>
        <w:t>livier</w:t>
      </w:r>
      <w:r w:rsidR="00275547" w:rsidRPr="00FF2B6C">
        <w:rPr>
          <w:color w:val="000000" w:themeColor="text1"/>
          <w:shd w:val="clear" w:color="auto" w:fill="FFFFFF"/>
          <w:lang w:val="en-CA"/>
        </w:rPr>
        <w:t>,</w:t>
      </w:r>
      <w:r w:rsidR="0049150C" w:rsidRPr="00FF2B6C">
        <w:rPr>
          <w:color w:val="000000" w:themeColor="text1"/>
          <w:shd w:val="clear" w:color="auto" w:fill="FFFFFF"/>
          <w:lang w:val="en-CA"/>
        </w:rPr>
        <w:t xml:space="preserve"> and</w:t>
      </w:r>
      <w:r w:rsidRPr="00FF2B6C">
        <w:rPr>
          <w:color w:val="000000" w:themeColor="text1"/>
          <w:shd w:val="clear" w:color="auto" w:fill="FFFFFF"/>
          <w:lang w:val="en-CA"/>
        </w:rPr>
        <w:t xml:space="preserve"> </w:t>
      </w:r>
      <w:r w:rsidR="0049150C" w:rsidRPr="00FF2B6C">
        <w:rPr>
          <w:color w:val="000000" w:themeColor="text1"/>
          <w:shd w:val="clear" w:color="auto" w:fill="FFFFFF"/>
          <w:lang w:val="en-CA"/>
        </w:rPr>
        <w:t xml:space="preserve">Lukas </w:t>
      </w:r>
      <w:r w:rsidRPr="00FF2B6C">
        <w:rPr>
          <w:color w:val="000000" w:themeColor="text1"/>
          <w:shd w:val="clear" w:color="auto" w:fill="FFFFFF"/>
          <w:lang w:val="en-CA"/>
        </w:rPr>
        <w:t>Haffert</w:t>
      </w:r>
      <w:r w:rsidR="0049150C" w:rsidRPr="00FF2B6C">
        <w:rPr>
          <w:color w:val="000000" w:themeColor="text1"/>
          <w:shd w:val="clear" w:color="auto" w:fill="FFFFFF"/>
          <w:lang w:val="en-CA"/>
        </w:rPr>
        <w:t xml:space="preserve">. </w:t>
      </w:r>
      <w:r w:rsidRPr="00FF2B6C">
        <w:rPr>
          <w:color w:val="000000" w:themeColor="text1"/>
          <w:shd w:val="clear" w:color="auto" w:fill="FFFFFF"/>
          <w:lang w:val="en-CA"/>
        </w:rPr>
        <w:t>2021</w:t>
      </w:r>
      <w:r w:rsidRPr="00D55DA8">
        <w:rPr>
          <w:color w:val="000000" w:themeColor="text1"/>
          <w:shd w:val="clear" w:color="auto" w:fill="FFFFFF"/>
          <w:lang w:val="en-CA"/>
        </w:rPr>
        <w:t xml:space="preserve">. “Are Governments Paying a Price for Austerity? Fiscal Consolidations Reduce Government Approval.” </w:t>
      </w:r>
      <w:r w:rsidRPr="00D55DA8">
        <w:rPr>
          <w:i/>
          <w:iCs/>
          <w:color w:val="000000" w:themeColor="text1"/>
          <w:shd w:val="clear" w:color="auto" w:fill="FFFFFF"/>
          <w:lang w:val="en-CA"/>
        </w:rPr>
        <w:t>European Political Science Review</w:t>
      </w:r>
      <w:r w:rsidR="00275547" w:rsidRPr="00D55DA8">
        <w:rPr>
          <w:i/>
          <w:iCs/>
          <w:color w:val="000000" w:themeColor="text1"/>
          <w:shd w:val="clear" w:color="auto" w:fill="FFFFFF"/>
          <w:lang w:val="en-CA"/>
        </w:rPr>
        <w:t>,</w:t>
      </w:r>
      <w:r w:rsidRPr="00D55DA8">
        <w:rPr>
          <w:i/>
          <w:iCs/>
          <w:color w:val="000000" w:themeColor="text1"/>
          <w:shd w:val="clear" w:color="auto" w:fill="FFFFFF"/>
          <w:lang w:val="en-CA"/>
        </w:rPr>
        <w:t xml:space="preserve"> </w:t>
      </w:r>
      <w:r w:rsidR="0049150C" w:rsidRPr="00D55DA8">
        <w:rPr>
          <w:i/>
          <w:iCs/>
          <w:lang w:val="en-CA"/>
        </w:rPr>
        <w:t>13</w:t>
      </w:r>
      <w:r w:rsidR="0049150C" w:rsidRPr="00D55DA8">
        <w:rPr>
          <w:lang w:val="en-CA"/>
        </w:rPr>
        <w:t>(2): 189-207</w:t>
      </w:r>
    </w:p>
    <w:p w14:paraId="42A70B57" w14:textId="501A7FB3" w:rsidR="00B53953" w:rsidRPr="00D55DA8" w:rsidRDefault="00B53953" w:rsidP="006E3C39">
      <w:pPr>
        <w:pStyle w:val="EndNoteBibliography"/>
        <w:spacing w:line="480" w:lineRule="auto"/>
        <w:ind w:left="720" w:hanging="720"/>
        <w:rPr>
          <w:color w:val="000000" w:themeColor="text1"/>
          <w:shd w:val="clear" w:color="auto" w:fill="FFFFFF"/>
        </w:rPr>
      </w:pPr>
      <w:r w:rsidRPr="00D55DA8">
        <w:rPr>
          <w:color w:val="000000" w:themeColor="text1"/>
          <w:shd w:val="clear" w:color="auto" w:fill="FFFFFF"/>
          <w:lang w:val="en-CA"/>
        </w:rPr>
        <w:t>Johnston, R</w:t>
      </w:r>
      <w:r w:rsidR="0049150C" w:rsidRPr="00D55DA8">
        <w:rPr>
          <w:color w:val="000000" w:themeColor="text1"/>
          <w:shd w:val="clear" w:color="auto" w:fill="FFFFFF"/>
          <w:lang w:val="en-CA"/>
        </w:rPr>
        <w:t>ichard</w:t>
      </w:r>
      <w:r w:rsidRPr="00D55DA8">
        <w:rPr>
          <w:color w:val="000000" w:themeColor="text1"/>
          <w:shd w:val="clear" w:color="auto" w:fill="FFFFFF"/>
          <w:lang w:val="en-CA"/>
        </w:rPr>
        <w:t>. 1999. “Business Cycles, Political Cycles and the Popularity of Canadian Governments, 1974-1998.” </w:t>
      </w:r>
      <w:r w:rsidRPr="00D55DA8">
        <w:rPr>
          <w:i/>
          <w:iCs/>
          <w:color w:val="000000" w:themeColor="text1"/>
          <w:shd w:val="clear" w:color="auto" w:fill="FFFFFF"/>
        </w:rPr>
        <w:t>Canadian Journal of Political Science, 32</w:t>
      </w:r>
      <w:r w:rsidRPr="00D55DA8">
        <w:rPr>
          <w:color w:val="000000" w:themeColor="text1"/>
          <w:shd w:val="clear" w:color="auto" w:fill="FFFFFF"/>
        </w:rPr>
        <w:t>(3), 499-520.</w:t>
      </w:r>
    </w:p>
    <w:p w14:paraId="048BA787" w14:textId="7B9A3F23" w:rsidR="00275547" w:rsidRPr="00D55DA8" w:rsidRDefault="00275547" w:rsidP="006E3C39">
      <w:pPr>
        <w:pStyle w:val="EndNoteBibliography"/>
        <w:spacing w:line="480" w:lineRule="auto"/>
        <w:ind w:left="720" w:hanging="720"/>
        <w:rPr>
          <w:lang w:val="en-CA"/>
        </w:rPr>
      </w:pPr>
      <w:r w:rsidRPr="00D55DA8">
        <w:rPr>
          <w:rFonts w:eastAsiaTheme="minorHAnsi"/>
          <w:color w:val="000000" w:themeColor="text1"/>
          <w:lang w:val="en-CA"/>
        </w:rPr>
        <w:t xml:space="preserve">Key, Jr., V.O. 1966. </w:t>
      </w:r>
      <w:r w:rsidRPr="00D55DA8">
        <w:rPr>
          <w:rFonts w:eastAsiaTheme="minorHAnsi"/>
          <w:i/>
          <w:iCs/>
          <w:color w:val="000000" w:themeColor="text1"/>
          <w:lang w:val="en-CA"/>
        </w:rPr>
        <w:t>The Responsible Electorate</w:t>
      </w:r>
      <w:r w:rsidRPr="00D55DA8">
        <w:rPr>
          <w:rFonts w:eastAsiaTheme="minorHAnsi"/>
          <w:color w:val="000000" w:themeColor="text1"/>
          <w:lang w:val="en-CA"/>
        </w:rPr>
        <w:t>, Cambridge: Harvard University Press.</w:t>
      </w:r>
    </w:p>
    <w:p w14:paraId="65931F3C" w14:textId="2EA762C0" w:rsidR="00AD76A2" w:rsidRPr="00D55DA8" w:rsidRDefault="00AD76A2" w:rsidP="006E3C39">
      <w:pPr>
        <w:pStyle w:val="EndNoteBibliography"/>
        <w:spacing w:line="480" w:lineRule="auto"/>
        <w:ind w:left="720" w:hanging="720"/>
        <w:rPr>
          <w:lang w:val="en-CA"/>
        </w:rPr>
      </w:pPr>
      <w:r w:rsidRPr="00D55DA8">
        <w:t>Lachapelle, Erick, Thomas Bergeron, Richard Nadeau, Jean-François Daoust, Ruth Dassonneville, and Éric Bélanger (2021). “</w:t>
      </w:r>
      <w:r w:rsidRPr="00D55DA8">
        <w:rPr>
          <w:lang w:val="en-CA"/>
        </w:rPr>
        <w:t xml:space="preserve">Citizens’ Willingness to Support New Taxes for COVID-19 Measures and the Role of Trust.” </w:t>
      </w:r>
      <w:r w:rsidRPr="00D55DA8">
        <w:rPr>
          <w:i/>
          <w:lang w:val="en-CA"/>
        </w:rPr>
        <w:t>Politics and Policy</w:t>
      </w:r>
      <w:r w:rsidRPr="00D55DA8">
        <w:rPr>
          <w:i/>
          <w:iCs/>
          <w:lang w:val="en-CA"/>
        </w:rPr>
        <w:t>, 49</w:t>
      </w:r>
      <w:r w:rsidRPr="00D55DA8">
        <w:rPr>
          <w:lang w:val="en-CA"/>
        </w:rPr>
        <w:t>(3), 534-565.</w:t>
      </w:r>
    </w:p>
    <w:p w14:paraId="515095B1" w14:textId="60C44B8C" w:rsidR="00B53953" w:rsidRPr="00D55DA8" w:rsidRDefault="00B53953" w:rsidP="006E3C39">
      <w:pPr>
        <w:pStyle w:val="EndNoteBibliography"/>
        <w:spacing w:line="480" w:lineRule="auto"/>
        <w:ind w:left="720" w:hanging="720"/>
        <w:rPr>
          <w:color w:val="000000" w:themeColor="text1"/>
          <w:lang w:val="en-CA"/>
        </w:rPr>
      </w:pPr>
      <w:r w:rsidRPr="00D55DA8">
        <w:rPr>
          <w:rFonts w:eastAsiaTheme="minorHAnsi"/>
          <w:color w:val="000000" w:themeColor="text1"/>
          <w:lang w:val="en-CA"/>
        </w:rPr>
        <w:t>Lebo, M</w:t>
      </w:r>
      <w:r w:rsidR="00186AB1" w:rsidRPr="00D55DA8">
        <w:rPr>
          <w:rFonts w:eastAsiaTheme="minorHAnsi"/>
          <w:color w:val="000000" w:themeColor="text1"/>
          <w:lang w:val="en-CA"/>
        </w:rPr>
        <w:t>att</w:t>
      </w:r>
      <w:r w:rsidRPr="00D55DA8">
        <w:rPr>
          <w:rFonts w:eastAsiaTheme="minorHAnsi"/>
          <w:color w:val="000000" w:themeColor="text1"/>
          <w:lang w:val="en-CA"/>
        </w:rPr>
        <w:t xml:space="preserve">, </w:t>
      </w:r>
      <w:r w:rsidR="0049150C" w:rsidRPr="00D55DA8">
        <w:rPr>
          <w:rFonts w:eastAsiaTheme="minorHAnsi"/>
          <w:color w:val="000000" w:themeColor="text1"/>
          <w:lang w:val="en-CA"/>
        </w:rPr>
        <w:t>and</w:t>
      </w:r>
      <w:r w:rsidRPr="00D55DA8">
        <w:rPr>
          <w:rFonts w:eastAsiaTheme="minorHAnsi"/>
          <w:color w:val="000000" w:themeColor="text1"/>
          <w:lang w:val="en-CA"/>
        </w:rPr>
        <w:t xml:space="preserve"> </w:t>
      </w:r>
      <w:r w:rsidR="00186AB1" w:rsidRPr="00D55DA8">
        <w:rPr>
          <w:rFonts w:eastAsiaTheme="minorHAnsi"/>
          <w:color w:val="000000" w:themeColor="text1"/>
          <w:lang w:val="en-CA"/>
        </w:rPr>
        <w:t xml:space="preserve">Janet </w:t>
      </w:r>
      <w:r w:rsidRPr="00D55DA8">
        <w:rPr>
          <w:rFonts w:eastAsiaTheme="minorHAnsi"/>
          <w:color w:val="000000" w:themeColor="text1"/>
          <w:lang w:val="en-CA"/>
        </w:rPr>
        <w:t xml:space="preserve">Box-Steffensmeier. 2008. “Dynamic Conditional Correlations in Political Science.” </w:t>
      </w:r>
      <w:r w:rsidRPr="00D55DA8">
        <w:rPr>
          <w:rFonts w:eastAsiaTheme="minorHAnsi"/>
          <w:i/>
          <w:iCs/>
          <w:color w:val="000000" w:themeColor="text1"/>
          <w:lang w:val="en-CA"/>
        </w:rPr>
        <w:t>American Journal of Political Science, 52</w:t>
      </w:r>
      <w:r w:rsidRPr="00D55DA8">
        <w:rPr>
          <w:rFonts w:eastAsiaTheme="minorHAnsi"/>
          <w:color w:val="000000" w:themeColor="text1"/>
          <w:lang w:val="en-CA"/>
        </w:rPr>
        <w:t>(3), 688-704.</w:t>
      </w:r>
    </w:p>
    <w:p w14:paraId="1B8B8ACF" w14:textId="2DA29D4D" w:rsidR="00B53953" w:rsidRPr="00D55DA8" w:rsidRDefault="00B53953" w:rsidP="006E3C39">
      <w:pPr>
        <w:pStyle w:val="EndNoteBibliography"/>
        <w:spacing w:line="480" w:lineRule="auto"/>
        <w:ind w:left="720" w:hanging="720"/>
        <w:rPr>
          <w:color w:val="000000" w:themeColor="text1"/>
          <w:lang w:val="en-CA"/>
        </w:rPr>
      </w:pPr>
      <w:r w:rsidRPr="00D55DA8">
        <w:rPr>
          <w:color w:val="000000" w:themeColor="text1"/>
          <w:lang w:val="en-CA"/>
        </w:rPr>
        <w:t>Lewis, T</w:t>
      </w:r>
      <w:r w:rsidR="00186AB1" w:rsidRPr="00D55DA8">
        <w:rPr>
          <w:color w:val="000000" w:themeColor="text1"/>
          <w:lang w:val="en-CA"/>
        </w:rPr>
        <w:t>imothy</w:t>
      </w:r>
      <w:r w:rsidRPr="00D55DA8">
        <w:rPr>
          <w:color w:val="000000" w:themeColor="text1"/>
          <w:lang w:val="en-CA"/>
        </w:rPr>
        <w:t xml:space="preserve">. 2003. </w:t>
      </w:r>
      <w:r w:rsidRPr="00D55DA8">
        <w:rPr>
          <w:i/>
          <w:iCs/>
          <w:color w:val="000000" w:themeColor="text1"/>
          <w:lang w:val="en-CA"/>
        </w:rPr>
        <w:t>In the Long Run We’re All Dead: The Canadian Turn to Fiscal Restraint</w:t>
      </w:r>
      <w:r w:rsidRPr="00D55DA8">
        <w:rPr>
          <w:color w:val="000000" w:themeColor="text1"/>
          <w:lang w:val="en-CA"/>
        </w:rPr>
        <w:t>, Vancouver</w:t>
      </w:r>
      <w:r w:rsidR="00186AB1" w:rsidRPr="00D55DA8">
        <w:rPr>
          <w:color w:val="000000" w:themeColor="text1"/>
          <w:lang w:val="en-CA"/>
        </w:rPr>
        <w:t>:</w:t>
      </w:r>
      <w:r w:rsidRPr="00D55DA8">
        <w:rPr>
          <w:color w:val="000000" w:themeColor="text1"/>
          <w:lang w:val="en-CA"/>
        </w:rPr>
        <w:t xml:space="preserve"> UBC Press.</w:t>
      </w:r>
    </w:p>
    <w:p w14:paraId="183F19B3" w14:textId="500806C9" w:rsidR="004B7589" w:rsidRPr="00D55DA8" w:rsidRDefault="004B7589" w:rsidP="00472F16">
      <w:pPr>
        <w:spacing w:line="480" w:lineRule="auto"/>
        <w:ind w:left="709" w:hanging="709"/>
        <w:rPr>
          <w:lang w:val="en-US"/>
        </w:rPr>
      </w:pPr>
      <w:r w:rsidRPr="00D55DA8">
        <w:rPr>
          <w:color w:val="222222"/>
          <w:shd w:val="clear" w:color="auto" w:fill="FFFFFF"/>
          <w:lang w:val="en-US"/>
        </w:rPr>
        <w:t>Mishler, W</w:t>
      </w:r>
      <w:r w:rsidR="00186AB1" w:rsidRPr="00D55DA8">
        <w:rPr>
          <w:color w:val="222222"/>
          <w:shd w:val="clear" w:color="auto" w:fill="FFFFFF"/>
          <w:lang w:val="en-US"/>
        </w:rPr>
        <w:t>illiam</w:t>
      </w:r>
      <w:r w:rsidRPr="00D55DA8">
        <w:rPr>
          <w:color w:val="222222"/>
          <w:shd w:val="clear" w:color="auto" w:fill="FFFFFF"/>
          <w:lang w:val="en-US"/>
        </w:rPr>
        <w:t xml:space="preserve">, </w:t>
      </w:r>
      <w:r w:rsidR="0049150C" w:rsidRPr="00D55DA8">
        <w:rPr>
          <w:color w:val="222222"/>
          <w:shd w:val="clear" w:color="auto" w:fill="FFFFFF"/>
          <w:lang w:val="en-US"/>
        </w:rPr>
        <w:t>and</w:t>
      </w:r>
      <w:r w:rsidRPr="00D55DA8">
        <w:rPr>
          <w:color w:val="222222"/>
          <w:shd w:val="clear" w:color="auto" w:fill="FFFFFF"/>
          <w:lang w:val="en-US"/>
        </w:rPr>
        <w:t xml:space="preserve"> </w:t>
      </w:r>
      <w:r w:rsidR="00186AB1" w:rsidRPr="00D55DA8">
        <w:rPr>
          <w:color w:val="222222"/>
          <w:shd w:val="clear" w:color="auto" w:fill="FFFFFF"/>
          <w:lang w:val="en-US"/>
        </w:rPr>
        <w:t xml:space="preserve">Reginald S. </w:t>
      </w:r>
      <w:r w:rsidRPr="00D55DA8">
        <w:rPr>
          <w:color w:val="222222"/>
          <w:shd w:val="clear" w:color="auto" w:fill="FFFFFF"/>
          <w:lang w:val="en-US"/>
        </w:rPr>
        <w:t xml:space="preserve">Sheehan. </w:t>
      </w:r>
      <w:r w:rsidR="00186AB1" w:rsidRPr="00D55DA8">
        <w:rPr>
          <w:color w:val="222222"/>
          <w:shd w:val="clear" w:color="auto" w:fill="FFFFFF"/>
          <w:lang w:val="en-US"/>
        </w:rPr>
        <w:t>1</w:t>
      </w:r>
      <w:r w:rsidRPr="00D55DA8">
        <w:rPr>
          <w:color w:val="222222"/>
          <w:shd w:val="clear" w:color="auto" w:fill="FFFFFF"/>
          <w:lang w:val="en-US"/>
        </w:rPr>
        <w:t>996. “Public Opinion, the Attitudinal Model, and Supreme Court Decision Making: A Micro-Analytic Perspective.” </w:t>
      </w:r>
      <w:r w:rsidRPr="00D55DA8">
        <w:rPr>
          <w:i/>
          <w:iCs/>
          <w:color w:val="222222"/>
          <w:lang w:val="en-US"/>
        </w:rPr>
        <w:t>The Journal of Politics</w:t>
      </w:r>
      <w:r w:rsidRPr="00D55DA8">
        <w:rPr>
          <w:color w:val="222222"/>
          <w:shd w:val="clear" w:color="auto" w:fill="FFFFFF"/>
          <w:lang w:val="en-US"/>
        </w:rPr>
        <w:t>, </w:t>
      </w:r>
      <w:r w:rsidRPr="00D55DA8">
        <w:rPr>
          <w:i/>
          <w:iCs/>
          <w:color w:val="222222"/>
          <w:lang w:val="en-US"/>
        </w:rPr>
        <w:t>58</w:t>
      </w:r>
      <w:r w:rsidRPr="00D55DA8">
        <w:rPr>
          <w:color w:val="222222"/>
          <w:shd w:val="clear" w:color="auto" w:fill="FFFFFF"/>
          <w:lang w:val="en-US"/>
        </w:rPr>
        <w:t>(1), 169-200.</w:t>
      </w:r>
    </w:p>
    <w:p w14:paraId="0288B8B1" w14:textId="4F11E689" w:rsidR="00B53953" w:rsidRPr="00D55DA8" w:rsidRDefault="00B53953" w:rsidP="00472F16">
      <w:pPr>
        <w:pStyle w:val="EndNoteBibliography"/>
        <w:spacing w:line="480" w:lineRule="auto"/>
        <w:ind w:left="720" w:hanging="720"/>
        <w:rPr>
          <w:color w:val="000000" w:themeColor="text1"/>
          <w:shd w:val="clear" w:color="auto" w:fill="FFFFFF"/>
          <w:lang w:val="en-CA"/>
        </w:rPr>
      </w:pPr>
      <w:r w:rsidRPr="00D55DA8">
        <w:rPr>
          <w:color w:val="000000" w:themeColor="text1"/>
          <w:shd w:val="clear" w:color="auto" w:fill="FFFFFF"/>
          <w:lang w:val="en-CA"/>
        </w:rPr>
        <w:t>Monroe, K</w:t>
      </w:r>
      <w:r w:rsidR="00186AB1" w:rsidRPr="00D55DA8">
        <w:rPr>
          <w:color w:val="000000" w:themeColor="text1"/>
          <w:shd w:val="clear" w:color="auto" w:fill="FFFFFF"/>
          <w:lang w:val="en-CA"/>
        </w:rPr>
        <w:t>risten</w:t>
      </w:r>
      <w:r w:rsidR="00275547" w:rsidRPr="00D55DA8">
        <w:rPr>
          <w:color w:val="000000" w:themeColor="text1"/>
          <w:shd w:val="clear" w:color="auto" w:fill="FFFFFF"/>
          <w:lang w:val="en-CA"/>
        </w:rPr>
        <w:t>,</w:t>
      </w:r>
      <w:r w:rsidRPr="00D55DA8">
        <w:rPr>
          <w:color w:val="000000" w:themeColor="text1"/>
          <w:shd w:val="clear" w:color="auto" w:fill="FFFFFF"/>
          <w:lang w:val="en-CA"/>
        </w:rPr>
        <w:t xml:space="preserve"> </w:t>
      </w:r>
      <w:r w:rsidR="0049150C" w:rsidRPr="00D55DA8">
        <w:rPr>
          <w:color w:val="000000" w:themeColor="text1"/>
          <w:shd w:val="clear" w:color="auto" w:fill="FFFFFF"/>
          <w:lang w:val="en-CA"/>
        </w:rPr>
        <w:t>and</w:t>
      </w:r>
      <w:r w:rsidRPr="00D55DA8">
        <w:rPr>
          <w:color w:val="000000" w:themeColor="text1"/>
          <w:shd w:val="clear" w:color="auto" w:fill="FFFFFF"/>
          <w:lang w:val="en-CA"/>
        </w:rPr>
        <w:t xml:space="preserve"> </w:t>
      </w:r>
      <w:r w:rsidR="00186AB1" w:rsidRPr="00D55DA8">
        <w:rPr>
          <w:color w:val="000000" w:themeColor="text1"/>
          <w:shd w:val="clear" w:color="auto" w:fill="FFFFFF"/>
          <w:lang w:val="en-CA"/>
        </w:rPr>
        <w:t xml:space="preserve">Lynda </w:t>
      </w:r>
      <w:r w:rsidRPr="00D55DA8">
        <w:rPr>
          <w:color w:val="000000" w:themeColor="text1"/>
          <w:shd w:val="clear" w:color="auto" w:fill="FFFFFF"/>
          <w:lang w:val="en-CA"/>
        </w:rPr>
        <w:t>Erickson. 1986. “The Economy and Political Support: The Canadian Case.” </w:t>
      </w:r>
      <w:r w:rsidRPr="00D55DA8">
        <w:rPr>
          <w:i/>
          <w:iCs/>
          <w:color w:val="000000" w:themeColor="text1"/>
          <w:shd w:val="clear" w:color="auto" w:fill="FFFFFF"/>
          <w:lang w:val="en-CA"/>
        </w:rPr>
        <w:t>Journal of Politics, 48</w:t>
      </w:r>
      <w:r w:rsidRPr="00D55DA8">
        <w:rPr>
          <w:color w:val="000000" w:themeColor="text1"/>
          <w:shd w:val="clear" w:color="auto" w:fill="FFFFFF"/>
          <w:lang w:val="en-CA"/>
        </w:rPr>
        <w:t>(3), 616-647.</w:t>
      </w:r>
    </w:p>
    <w:p w14:paraId="7E1127FC" w14:textId="7924DC2A" w:rsidR="00B53953" w:rsidRPr="00D55DA8" w:rsidRDefault="00B53953" w:rsidP="00472F16">
      <w:pPr>
        <w:pStyle w:val="EndNoteBibliography"/>
        <w:spacing w:line="480" w:lineRule="auto"/>
        <w:ind w:left="720" w:hanging="720"/>
        <w:rPr>
          <w:color w:val="000000" w:themeColor="text1"/>
          <w:shd w:val="clear" w:color="auto" w:fill="FFFFFF"/>
          <w:lang w:val="en-CA"/>
        </w:rPr>
      </w:pPr>
      <w:bookmarkStart w:id="0" w:name="OLE_LINK2"/>
      <w:r w:rsidRPr="00D55DA8">
        <w:rPr>
          <w:lang w:val="en-CA"/>
        </w:rPr>
        <w:t>Nadeau, R</w:t>
      </w:r>
      <w:r w:rsidR="00186AB1" w:rsidRPr="00D55DA8">
        <w:rPr>
          <w:lang w:val="en-CA"/>
        </w:rPr>
        <w:t>ichard</w:t>
      </w:r>
      <w:r w:rsidRPr="00D55DA8">
        <w:rPr>
          <w:lang w:val="en-CA"/>
        </w:rPr>
        <w:t xml:space="preserve">, </w:t>
      </w:r>
      <w:r w:rsidR="0049150C" w:rsidRPr="00D55DA8">
        <w:rPr>
          <w:lang w:val="en-CA"/>
        </w:rPr>
        <w:t>and</w:t>
      </w:r>
      <w:r w:rsidRPr="00D55DA8">
        <w:rPr>
          <w:lang w:val="en-CA"/>
        </w:rPr>
        <w:t xml:space="preserve"> </w:t>
      </w:r>
      <w:r w:rsidR="00186AB1" w:rsidRPr="00D55DA8">
        <w:rPr>
          <w:lang w:val="en-CA"/>
        </w:rPr>
        <w:t xml:space="preserve">André </w:t>
      </w:r>
      <w:r w:rsidRPr="00D55DA8">
        <w:rPr>
          <w:lang w:val="en-CA"/>
        </w:rPr>
        <w:t xml:space="preserve">Blais. 1993. “Explaining Election Outcomes in Canada: Economy and Politics.” </w:t>
      </w:r>
      <w:r w:rsidRPr="00D55DA8">
        <w:rPr>
          <w:i/>
          <w:iCs/>
          <w:lang w:val="en-CA"/>
        </w:rPr>
        <w:t>Canadian Journal of Political Science, 26</w:t>
      </w:r>
      <w:r w:rsidRPr="00D55DA8">
        <w:rPr>
          <w:lang w:val="en-CA"/>
        </w:rPr>
        <w:t>(4), 775-790</w:t>
      </w:r>
      <w:bookmarkEnd w:id="0"/>
      <w:r w:rsidRPr="00D55DA8">
        <w:rPr>
          <w:lang w:val="en-CA"/>
        </w:rPr>
        <w:t>.</w:t>
      </w:r>
    </w:p>
    <w:p w14:paraId="0F020AA4" w14:textId="47815AB2" w:rsidR="00B53953" w:rsidRPr="00D55DA8" w:rsidRDefault="00B53953" w:rsidP="00472F16">
      <w:pPr>
        <w:pStyle w:val="EndNoteBibliography"/>
        <w:spacing w:line="480" w:lineRule="auto"/>
        <w:ind w:left="720" w:hanging="720"/>
        <w:rPr>
          <w:color w:val="000000" w:themeColor="text1"/>
          <w:shd w:val="clear" w:color="auto" w:fill="FFFFFF"/>
          <w:lang w:val="en-CA"/>
        </w:rPr>
      </w:pPr>
      <w:r w:rsidRPr="00D55DA8">
        <w:rPr>
          <w:color w:val="000000" w:themeColor="text1"/>
          <w:shd w:val="clear" w:color="auto" w:fill="FFFFFF"/>
          <w:lang w:val="en-CA"/>
        </w:rPr>
        <w:lastRenderedPageBreak/>
        <w:t>Pétry, F</w:t>
      </w:r>
      <w:r w:rsidR="00186AB1" w:rsidRPr="00D55DA8">
        <w:rPr>
          <w:color w:val="000000" w:themeColor="text1"/>
          <w:shd w:val="clear" w:color="auto" w:fill="FFFFFF"/>
          <w:lang w:val="en-CA"/>
        </w:rPr>
        <w:t>rançois</w:t>
      </w:r>
      <w:r w:rsidRPr="00D55DA8">
        <w:rPr>
          <w:color w:val="000000" w:themeColor="text1"/>
          <w:shd w:val="clear" w:color="auto" w:fill="FFFFFF"/>
          <w:lang w:val="en-CA"/>
        </w:rPr>
        <w:t xml:space="preserve">, </w:t>
      </w:r>
      <w:r w:rsidR="0049150C" w:rsidRPr="00D55DA8">
        <w:rPr>
          <w:color w:val="000000" w:themeColor="text1"/>
          <w:shd w:val="clear" w:color="auto" w:fill="FFFFFF"/>
          <w:lang w:val="en-CA"/>
        </w:rPr>
        <w:t>and</w:t>
      </w:r>
      <w:r w:rsidRPr="00D55DA8">
        <w:rPr>
          <w:color w:val="000000" w:themeColor="text1"/>
          <w:shd w:val="clear" w:color="auto" w:fill="FFFFFF"/>
          <w:lang w:val="en-CA"/>
        </w:rPr>
        <w:t xml:space="preserve"> </w:t>
      </w:r>
      <w:r w:rsidR="00186AB1" w:rsidRPr="00D55DA8">
        <w:rPr>
          <w:color w:val="000000" w:themeColor="text1"/>
          <w:shd w:val="clear" w:color="auto" w:fill="FFFFFF"/>
          <w:lang w:val="en-CA"/>
        </w:rPr>
        <w:t xml:space="preserve">Howard </w:t>
      </w:r>
      <w:r w:rsidRPr="00D55DA8">
        <w:rPr>
          <w:color w:val="000000" w:themeColor="text1"/>
          <w:shd w:val="clear" w:color="auto" w:fill="FFFFFF"/>
          <w:lang w:val="en-CA"/>
        </w:rPr>
        <w:t>Harmatz. 1995. “Politico-Economic Interactions in Canada: An Empirical Assessment.” </w:t>
      </w:r>
      <w:r w:rsidRPr="00D55DA8">
        <w:rPr>
          <w:i/>
          <w:iCs/>
          <w:color w:val="000000" w:themeColor="text1"/>
          <w:shd w:val="clear" w:color="auto" w:fill="FFFFFF"/>
          <w:lang w:val="en-CA"/>
        </w:rPr>
        <w:t>Public Finance Quarterly, 23</w:t>
      </w:r>
      <w:r w:rsidRPr="00D55DA8">
        <w:rPr>
          <w:color w:val="000000" w:themeColor="text1"/>
          <w:shd w:val="clear" w:color="auto" w:fill="FFFFFF"/>
          <w:lang w:val="en-CA"/>
        </w:rPr>
        <w:t>(3), 305-335.</w:t>
      </w:r>
    </w:p>
    <w:p w14:paraId="5C5EF629" w14:textId="1F87085E" w:rsidR="00B53953" w:rsidRPr="00D55DA8" w:rsidRDefault="00B53953" w:rsidP="00472F16">
      <w:pPr>
        <w:pStyle w:val="EndNoteBibliography"/>
        <w:spacing w:line="480" w:lineRule="auto"/>
        <w:ind w:left="720" w:hanging="720"/>
        <w:rPr>
          <w:color w:val="000000" w:themeColor="text1"/>
          <w:lang w:val="en-CA"/>
        </w:rPr>
      </w:pPr>
      <w:r w:rsidRPr="00D55DA8">
        <w:rPr>
          <w:color w:val="000000" w:themeColor="text1"/>
          <w:lang w:val="en-CA"/>
        </w:rPr>
        <w:t>Pickup, M</w:t>
      </w:r>
      <w:r w:rsidR="00186AB1" w:rsidRPr="00D55DA8">
        <w:rPr>
          <w:color w:val="000000" w:themeColor="text1"/>
          <w:lang w:val="en-CA"/>
        </w:rPr>
        <w:t>ark</w:t>
      </w:r>
      <w:r w:rsidRPr="00D55DA8">
        <w:rPr>
          <w:color w:val="000000" w:themeColor="text1"/>
          <w:lang w:val="en-CA"/>
        </w:rPr>
        <w:t>. 2004. “Economic Performance and Electoral Accountability: The Economy and Party Popularity in Canada 1975-2000.” Paper presented at the Canadian Political Science Association Conference.</w:t>
      </w:r>
    </w:p>
    <w:p w14:paraId="5E5AA532" w14:textId="58834EB5" w:rsidR="009A7E3F" w:rsidRPr="00D55DA8" w:rsidRDefault="009A7E3F" w:rsidP="00472F16">
      <w:pPr>
        <w:pStyle w:val="EndNoteBibliography"/>
        <w:spacing w:line="480" w:lineRule="auto"/>
        <w:ind w:left="720" w:hanging="720"/>
        <w:rPr>
          <w:color w:val="000000" w:themeColor="text1"/>
          <w:lang w:val="en-CA"/>
        </w:rPr>
      </w:pPr>
      <w:r w:rsidRPr="00D55DA8">
        <w:rPr>
          <w:color w:val="000000" w:themeColor="text1"/>
          <w:lang w:val="en-CA"/>
        </w:rPr>
        <w:t>Pickup, M</w:t>
      </w:r>
      <w:r w:rsidR="00186AB1" w:rsidRPr="00D55DA8">
        <w:rPr>
          <w:color w:val="000000" w:themeColor="text1"/>
          <w:lang w:val="en-CA"/>
        </w:rPr>
        <w:t>ark</w:t>
      </w:r>
      <w:r w:rsidRPr="00D55DA8">
        <w:rPr>
          <w:color w:val="000000" w:themeColor="text1"/>
          <w:lang w:val="en-CA"/>
        </w:rPr>
        <w:t xml:space="preserve">. 2010. “Better Know Your Dependent Variable: A Multination Analysis of Government Support Measures in Economic Popularity Models.” </w:t>
      </w:r>
      <w:r w:rsidRPr="00D55DA8">
        <w:rPr>
          <w:i/>
          <w:iCs/>
          <w:color w:val="000000" w:themeColor="text1"/>
          <w:lang w:val="en-CA"/>
        </w:rPr>
        <w:t>British Journal of Political Science, 40</w:t>
      </w:r>
      <w:r w:rsidRPr="00D55DA8">
        <w:rPr>
          <w:color w:val="000000" w:themeColor="text1"/>
          <w:lang w:val="en-CA"/>
        </w:rPr>
        <w:t>(2), 449-468.</w:t>
      </w:r>
    </w:p>
    <w:p w14:paraId="16EEDC20" w14:textId="5B36511A" w:rsidR="000A4DC6" w:rsidRPr="00D55DA8" w:rsidRDefault="000A4DC6" w:rsidP="00472F16">
      <w:pPr>
        <w:autoSpaceDE w:val="0"/>
        <w:autoSpaceDN w:val="0"/>
        <w:adjustRightInd w:val="0"/>
        <w:spacing w:line="480" w:lineRule="auto"/>
        <w:ind w:left="709" w:hanging="709"/>
        <w:rPr>
          <w:sz w:val="16"/>
          <w:szCs w:val="16"/>
          <w:lang w:val="en-US"/>
        </w:rPr>
      </w:pPr>
      <w:r w:rsidRPr="00D55DA8">
        <w:rPr>
          <w:lang w:val="en-US"/>
        </w:rPr>
        <w:t>Pierson, P</w:t>
      </w:r>
      <w:r w:rsidR="00186AB1" w:rsidRPr="00D55DA8">
        <w:rPr>
          <w:lang w:val="en-US"/>
        </w:rPr>
        <w:t>aul</w:t>
      </w:r>
      <w:r w:rsidRPr="00D55DA8">
        <w:rPr>
          <w:lang w:val="en-US"/>
        </w:rPr>
        <w:t>. 2001</w:t>
      </w:r>
      <w:r w:rsidR="00186AB1" w:rsidRPr="00D55DA8">
        <w:rPr>
          <w:lang w:val="en-US"/>
        </w:rPr>
        <w:t>.</w:t>
      </w:r>
      <w:r w:rsidRPr="00D55DA8">
        <w:rPr>
          <w:lang w:val="en-US"/>
        </w:rPr>
        <w:t xml:space="preserve"> “From Expansion to Austerity. The New Politics of Taxing and Spending”. In Levin, M. A., Landy, M. K. and Shapiro, M. (eds) </w:t>
      </w:r>
      <w:r w:rsidRPr="00D55DA8">
        <w:rPr>
          <w:i/>
          <w:iCs/>
          <w:lang w:val="en-US"/>
        </w:rPr>
        <w:t>Seeking the Center: Politics and Policymaking in the New Century</w:t>
      </w:r>
      <w:r w:rsidRPr="00D55DA8">
        <w:rPr>
          <w:lang w:val="en-US"/>
        </w:rPr>
        <w:t>, Washington, D.C., Georgetown University Press, pp. 54–80.</w:t>
      </w:r>
    </w:p>
    <w:p w14:paraId="46243941" w14:textId="350B9D74" w:rsidR="00B53953" w:rsidRPr="00D55DA8" w:rsidRDefault="00B53953" w:rsidP="00472F16">
      <w:pPr>
        <w:pStyle w:val="EndNoteBibliography"/>
        <w:spacing w:line="480" w:lineRule="auto"/>
        <w:ind w:left="720" w:hanging="720"/>
        <w:rPr>
          <w:color w:val="000000" w:themeColor="text1"/>
          <w:shd w:val="clear" w:color="auto" w:fill="FFFFFF"/>
          <w:lang w:val="en-CA"/>
        </w:rPr>
      </w:pPr>
      <w:r w:rsidRPr="00D55DA8">
        <w:rPr>
          <w:color w:val="000000" w:themeColor="text1"/>
          <w:shd w:val="clear" w:color="auto" w:fill="FFFFFF"/>
          <w:lang w:val="en-CA"/>
        </w:rPr>
        <w:t>Savoie, D</w:t>
      </w:r>
      <w:r w:rsidR="00186AB1" w:rsidRPr="00D55DA8">
        <w:rPr>
          <w:color w:val="000000" w:themeColor="text1"/>
          <w:shd w:val="clear" w:color="auto" w:fill="FFFFFF"/>
          <w:lang w:val="en-CA"/>
        </w:rPr>
        <w:t>onald</w:t>
      </w:r>
      <w:r w:rsidRPr="00D55DA8">
        <w:rPr>
          <w:color w:val="000000" w:themeColor="text1"/>
          <w:shd w:val="clear" w:color="auto" w:fill="FFFFFF"/>
          <w:lang w:val="en-CA"/>
        </w:rPr>
        <w:t xml:space="preserve"> J. 1999. </w:t>
      </w:r>
      <w:r w:rsidRPr="00D55DA8">
        <w:rPr>
          <w:i/>
          <w:iCs/>
          <w:color w:val="000000" w:themeColor="text1"/>
          <w:shd w:val="clear" w:color="auto" w:fill="FFFFFF"/>
          <w:lang w:val="en-CA"/>
        </w:rPr>
        <w:t>Governing from the Centre: The Concentration of Power in Canadian Politics</w:t>
      </w:r>
      <w:r w:rsidRPr="00D55DA8">
        <w:rPr>
          <w:color w:val="000000" w:themeColor="text1"/>
          <w:shd w:val="clear" w:color="auto" w:fill="FFFFFF"/>
          <w:lang w:val="en-CA"/>
        </w:rPr>
        <w:t>. University of Toronto Press.</w:t>
      </w:r>
    </w:p>
    <w:p w14:paraId="39A57958" w14:textId="4BE35AC8" w:rsidR="000D1717" w:rsidRPr="00D55DA8" w:rsidRDefault="000D1717" w:rsidP="00472F16">
      <w:pPr>
        <w:pStyle w:val="EndNoteBibliography"/>
        <w:spacing w:line="480" w:lineRule="auto"/>
        <w:ind w:left="720" w:hanging="720"/>
        <w:rPr>
          <w:color w:val="000000" w:themeColor="text1"/>
          <w:shd w:val="clear" w:color="auto" w:fill="FFFFFF"/>
          <w:lang w:val="en-CA"/>
        </w:rPr>
      </w:pPr>
      <w:r w:rsidRPr="00D55DA8">
        <w:rPr>
          <w:color w:val="000000" w:themeColor="text1"/>
          <w:shd w:val="clear" w:color="auto" w:fill="FFFFFF"/>
          <w:lang w:val="en-CA"/>
        </w:rPr>
        <w:t>Talving, L</w:t>
      </w:r>
      <w:r w:rsidR="00186AB1" w:rsidRPr="00D55DA8">
        <w:rPr>
          <w:color w:val="000000" w:themeColor="text1"/>
          <w:shd w:val="clear" w:color="auto" w:fill="FFFFFF"/>
          <w:lang w:val="en-CA"/>
        </w:rPr>
        <w:t>iisa</w:t>
      </w:r>
      <w:r w:rsidRPr="00D55DA8">
        <w:rPr>
          <w:color w:val="000000" w:themeColor="text1"/>
          <w:shd w:val="clear" w:color="auto" w:fill="FFFFFF"/>
          <w:lang w:val="en-CA"/>
        </w:rPr>
        <w:t>. 2017. “The Electoral Consequences of Austerity: Economic Policy Voting in Europe in Times of Crisis</w:t>
      </w:r>
      <w:r w:rsidR="004E5E5E" w:rsidRPr="00D55DA8">
        <w:rPr>
          <w:color w:val="000000" w:themeColor="text1"/>
          <w:shd w:val="clear" w:color="auto" w:fill="FFFFFF"/>
          <w:lang w:val="en-CA"/>
        </w:rPr>
        <w:t>.</w:t>
      </w:r>
      <w:r w:rsidRPr="00D55DA8">
        <w:rPr>
          <w:color w:val="000000" w:themeColor="text1"/>
          <w:shd w:val="clear" w:color="auto" w:fill="FFFFFF"/>
          <w:lang w:val="en-CA"/>
        </w:rPr>
        <w:t xml:space="preserve">” </w:t>
      </w:r>
      <w:r w:rsidRPr="00D55DA8">
        <w:rPr>
          <w:i/>
          <w:iCs/>
          <w:color w:val="000000" w:themeColor="text1"/>
          <w:shd w:val="clear" w:color="auto" w:fill="FFFFFF"/>
          <w:lang w:val="en-CA"/>
        </w:rPr>
        <w:t>West European Politics</w:t>
      </w:r>
      <w:r w:rsidR="004E5E5E" w:rsidRPr="00D55DA8">
        <w:rPr>
          <w:i/>
          <w:iCs/>
          <w:color w:val="000000" w:themeColor="text1"/>
          <w:shd w:val="clear" w:color="auto" w:fill="FFFFFF"/>
          <w:lang w:val="en-CA"/>
        </w:rPr>
        <w:t>,</w:t>
      </w:r>
      <w:r w:rsidRPr="00D55DA8">
        <w:rPr>
          <w:i/>
          <w:iCs/>
          <w:color w:val="000000" w:themeColor="text1"/>
          <w:shd w:val="clear" w:color="auto" w:fill="FFFFFF"/>
          <w:lang w:val="en-CA"/>
        </w:rPr>
        <w:t xml:space="preserve"> 40</w:t>
      </w:r>
      <w:r w:rsidRPr="00D55DA8">
        <w:rPr>
          <w:color w:val="000000" w:themeColor="text1"/>
          <w:shd w:val="clear" w:color="auto" w:fill="FFFFFF"/>
          <w:lang w:val="en-CA"/>
        </w:rPr>
        <w:t>(3)</w:t>
      </w:r>
      <w:r w:rsidR="004E5E5E" w:rsidRPr="00D55DA8">
        <w:rPr>
          <w:color w:val="000000" w:themeColor="text1"/>
          <w:shd w:val="clear" w:color="auto" w:fill="FFFFFF"/>
          <w:lang w:val="en-CA"/>
        </w:rPr>
        <w:t>,</w:t>
      </w:r>
      <w:r w:rsidRPr="00D55DA8">
        <w:rPr>
          <w:color w:val="000000" w:themeColor="text1"/>
          <w:shd w:val="clear" w:color="auto" w:fill="FFFFFF"/>
          <w:lang w:val="en-CA"/>
        </w:rPr>
        <w:t xml:space="preserve"> 560-583</w:t>
      </w:r>
    </w:p>
    <w:p w14:paraId="76B55E0F" w14:textId="6901B6FD" w:rsidR="00B53953" w:rsidRPr="00D55DA8" w:rsidRDefault="00B53953" w:rsidP="00472F16">
      <w:pPr>
        <w:pStyle w:val="EndNoteBibliography"/>
        <w:spacing w:line="480" w:lineRule="auto"/>
        <w:ind w:left="720" w:hanging="720"/>
        <w:rPr>
          <w:color w:val="000000" w:themeColor="text1"/>
          <w:shd w:val="clear" w:color="auto" w:fill="FFFFFF"/>
          <w:lang w:val="en-CA"/>
        </w:rPr>
      </w:pPr>
      <w:r w:rsidRPr="00D55DA8">
        <w:rPr>
          <w:color w:val="000000" w:themeColor="text1"/>
          <w:shd w:val="clear" w:color="auto" w:fill="FFFFFF"/>
          <w:lang w:val="en-CA"/>
        </w:rPr>
        <w:t>Tellier, G</w:t>
      </w:r>
      <w:r w:rsidR="00186AB1" w:rsidRPr="00D55DA8">
        <w:rPr>
          <w:color w:val="000000" w:themeColor="text1"/>
          <w:shd w:val="clear" w:color="auto" w:fill="FFFFFF"/>
          <w:lang w:val="en-CA"/>
        </w:rPr>
        <w:t>eneviève</w:t>
      </w:r>
      <w:r w:rsidRPr="00D55DA8">
        <w:rPr>
          <w:color w:val="000000" w:themeColor="text1"/>
          <w:shd w:val="clear" w:color="auto" w:fill="FFFFFF"/>
          <w:lang w:val="en-CA"/>
        </w:rPr>
        <w:t>. 2006. “Effect of Economic Conditions on Government Popularity: The Canadian Provincial Case.” </w:t>
      </w:r>
      <w:r w:rsidRPr="00D55DA8">
        <w:rPr>
          <w:i/>
          <w:iCs/>
          <w:color w:val="000000" w:themeColor="text1"/>
          <w:shd w:val="clear" w:color="auto" w:fill="FFFFFF"/>
          <w:lang w:val="en-CA"/>
        </w:rPr>
        <w:t>Canadian Journal of Political Science, 39</w:t>
      </w:r>
      <w:r w:rsidRPr="00D55DA8">
        <w:rPr>
          <w:color w:val="000000" w:themeColor="text1"/>
          <w:shd w:val="clear" w:color="auto" w:fill="FFFFFF"/>
          <w:lang w:val="en-CA"/>
        </w:rPr>
        <w:t>(1), 27-51.</w:t>
      </w:r>
    </w:p>
    <w:p w14:paraId="1664588B" w14:textId="08CEAB8F" w:rsidR="006E3C39" w:rsidRPr="00D55DA8" w:rsidRDefault="004B7589" w:rsidP="006E3C39">
      <w:pPr>
        <w:spacing w:line="480" w:lineRule="auto"/>
        <w:ind w:left="709" w:hanging="709"/>
        <w:rPr>
          <w:color w:val="000000" w:themeColor="text1"/>
          <w:lang w:val="en-US"/>
        </w:rPr>
      </w:pPr>
      <w:r w:rsidRPr="00D55DA8">
        <w:rPr>
          <w:color w:val="000000" w:themeColor="text1"/>
          <w:shd w:val="clear" w:color="auto" w:fill="FFFFFF"/>
          <w:lang w:val="en-US"/>
        </w:rPr>
        <w:t>Webb, C</w:t>
      </w:r>
      <w:r w:rsidR="00186AB1" w:rsidRPr="00D55DA8">
        <w:rPr>
          <w:color w:val="000000" w:themeColor="text1"/>
          <w:shd w:val="clear" w:color="auto" w:fill="FFFFFF"/>
          <w:lang w:val="en-US"/>
        </w:rPr>
        <w:t>layton</w:t>
      </w:r>
      <w:r w:rsidRPr="00D55DA8">
        <w:rPr>
          <w:color w:val="000000" w:themeColor="text1"/>
          <w:shd w:val="clear" w:color="auto" w:fill="FFFFFF"/>
          <w:lang w:val="en-US"/>
        </w:rPr>
        <w:t>. 2018. “Power Politics or Public Pandering? An Empirical Investigation of Economic Sanctions and Presidential Approval.” </w:t>
      </w:r>
      <w:r w:rsidRPr="00D55DA8">
        <w:rPr>
          <w:i/>
          <w:iCs/>
          <w:color w:val="000000" w:themeColor="text1"/>
          <w:lang w:val="en-US"/>
        </w:rPr>
        <w:t>International Interactions</w:t>
      </w:r>
      <w:r w:rsidRPr="00D55DA8">
        <w:rPr>
          <w:color w:val="000000" w:themeColor="text1"/>
          <w:shd w:val="clear" w:color="auto" w:fill="FFFFFF"/>
          <w:lang w:val="en-US"/>
        </w:rPr>
        <w:t>, </w:t>
      </w:r>
      <w:r w:rsidRPr="00D55DA8">
        <w:rPr>
          <w:i/>
          <w:iCs/>
          <w:color w:val="000000" w:themeColor="text1"/>
          <w:lang w:val="en-US"/>
        </w:rPr>
        <w:t>44</w:t>
      </w:r>
      <w:r w:rsidRPr="00D55DA8">
        <w:rPr>
          <w:color w:val="000000" w:themeColor="text1"/>
          <w:shd w:val="clear" w:color="auto" w:fill="FFFFFF"/>
          <w:lang w:val="en-US"/>
        </w:rPr>
        <w:t>(3), 491-509.</w:t>
      </w:r>
    </w:p>
    <w:p w14:paraId="24B55CEA" w14:textId="7B984213" w:rsidR="00B53953" w:rsidRPr="00472F16" w:rsidRDefault="00776D33" w:rsidP="006E3C39">
      <w:pPr>
        <w:spacing w:line="480" w:lineRule="auto"/>
        <w:ind w:left="709" w:hanging="709"/>
        <w:rPr>
          <w:color w:val="000000" w:themeColor="text1"/>
          <w:lang w:val="en-US"/>
        </w:rPr>
      </w:pPr>
      <w:r w:rsidRPr="00D55DA8">
        <w:rPr>
          <w:color w:val="000000" w:themeColor="text1"/>
          <w:shd w:val="clear" w:color="auto" w:fill="FFFFFF"/>
          <w:lang w:val="en-CA"/>
        </w:rPr>
        <w:t xml:space="preserve">Webb, Clayton, Suzanna </w:t>
      </w:r>
      <w:proofErr w:type="gramStart"/>
      <w:r w:rsidRPr="00D55DA8">
        <w:rPr>
          <w:color w:val="000000" w:themeColor="text1"/>
          <w:shd w:val="clear" w:color="auto" w:fill="FFFFFF"/>
          <w:lang w:val="en-CA"/>
        </w:rPr>
        <w:t>Linn</w:t>
      </w:r>
      <w:proofErr w:type="gramEnd"/>
      <w:r w:rsidRPr="00D55DA8">
        <w:rPr>
          <w:color w:val="000000" w:themeColor="text1"/>
          <w:shd w:val="clear" w:color="auto" w:fill="FFFFFF"/>
          <w:lang w:val="en-CA"/>
        </w:rPr>
        <w:t xml:space="preserve"> and Matthew J. Lebo. 2020. “Beyond the Unit Root Question: Uncertainty and Inference.” </w:t>
      </w:r>
      <w:r w:rsidRPr="00D55DA8">
        <w:rPr>
          <w:i/>
          <w:iCs/>
          <w:color w:val="000000" w:themeColor="text1"/>
          <w:shd w:val="clear" w:color="auto" w:fill="FFFFFF"/>
          <w:lang w:val="en-CA"/>
        </w:rPr>
        <w:t>American Journal of Political Science</w:t>
      </w:r>
      <w:r w:rsidRPr="00D55DA8">
        <w:rPr>
          <w:color w:val="000000" w:themeColor="text1"/>
          <w:shd w:val="clear" w:color="auto" w:fill="FFFFFF"/>
          <w:lang w:val="en-CA"/>
        </w:rPr>
        <w:t>, 64 (2): 275-292.</w:t>
      </w:r>
    </w:p>
    <w:p w14:paraId="769A93F3" w14:textId="232AC977" w:rsidR="000D1717" w:rsidRDefault="000D1717" w:rsidP="00E21C2A">
      <w:pPr>
        <w:spacing w:line="480" w:lineRule="auto"/>
        <w:rPr>
          <w:lang w:val="en-US"/>
        </w:rPr>
      </w:pPr>
    </w:p>
    <w:tbl>
      <w:tblPr>
        <w:tblW w:w="6564" w:type="dxa"/>
        <w:tblCellMar>
          <w:left w:w="0" w:type="dxa"/>
          <w:right w:w="0" w:type="dxa"/>
        </w:tblCellMar>
        <w:tblLook w:val="04A0" w:firstRow="1" w:lastRow="0" w:firstColumn="1" w:lastColumn="0" w:noHBand="0" w:noVBand="1"/>
      </w:tblPr>
      <w:tblGrid>
        <w:gridCol w:w="6564"/>
      </w:tblGrid>
      <w:tr w:rsidR="000D1717" w:rsidRPr="004B7589" w14:paraId="0CBFDEBA" w14:textId="77777777" w:rsidTr="000D1717">
        <w:tc>
          <w:tcPr>
            <w:tcW w:w="0" w:type="auto"/>
            <w:vAlign w:val="center"/>
            <w:hideMark/>
          </w:tcPr>
          <w:p w14:paraId="5DCC96BE" w14:textId="77777777" w:rsidR="000D1717" w:rsidRPr="004B7589" w:rsidRDefault="000D1717" w:rsidP="00E21C2A">
            <w:pPr>
              <w:spacing w:line="480" w:lineRule="auto"/>
              <w:rPr>
                <w:lang w:val="en-US"/>
              </w:rPr>
            </w:pPr>
          </w:p>
        </w:tc>
      </w:tr>
    </w:tbl>
    <w:p w14:paraId="3B7F9B32" w14:textId="024715F6" w:rsidR="000D1717" w:rsidRDefault="000D1717" w:rsidP="00E21C2A">
      <w:pPr>
        <w:spacing w:line="480" w:lineRule="auto"/>
        <w:rPr>
          <w:lang w:val="en-US"/>
        </w:rPr>
      </w:pPr>
    </w:p>
    <w:p w14:paraId="7C221F1C" w14:textId="77777777" w:rsidR="00357034" w:rsidRPr="00EA042C" w:rsidRDefault="00357034" w:rsidP="00E21C2A">
      <w:pPr>
        <w:spacing w:line="480" w:lineRule="auto"/>
        <w:rPr>
          <w:lang w:val="en-US"/>
        </w:rPr>
      </w:pPr>
    </w:p>
    <w:sectPr w:rsidR="00357034" w:rsidRPr="00EA042C" w:rsidSect="0075267A">
      <w:footerReference w:type="even" r:id="rId12"/>
      <w:footerReference w:type="default" r:id="rId13"/>
      <w:endnotePr>
        <w:numFmt w:val="decimal"/>
      </w:endnotePr>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62F5" w14:textId="77777777" w:rsidR="00E2061A" w:rsidRDefault="00E2061A" w:rsidP="002A3C00">
      <w:r>
        <w:separator/>
      </w:r>
    </w:p>
  </w:endnote>
  <w:endnote w:type="continuationSeparator" w:id="0">
    <w:p w14:paraId="466EDCE0" w14:textId="77777777" w:rsidR="00E2061A" w:rsidRDefault="00E2061A" w:rsidP="002A3C00">
      <w:r>
        <w:continuationSeparator/>
      </w:r>
    </w:p>
  </w:endnote>
  <w:endnote w:id="1">
    <w:p w14:paraId="47922717" w14:textId="42E5BB16" w:rsidR="00E21C2A" w:rsidRPr="00FF2B6C" w:rsidRDefault="00E21C2A" w:rsidP="00DC2F54">
      <w:pPr>
        <w:pStyle w:val="Notedefin"/>
        <w:rPr>
          <w:lang w:val="en-US"/>
        </w:rPr>
      </w:pPr>
      <w:r w:rsidRPr="006260CE">
        <w:rPr>
          <w:rStyle w:val="Appeldenotedefin"/>
        </w:rPr>
        <w:endnoteRef/>
      </w:r>
      <w:r w:rsidRPr="006260CE">
        <w:rPr>
          <w:lang w:val="en-US"/>
        </w:rPr>
        <w:t xml:space="preserve"> </w:t>
      </w:r>
      <w:r w:rsidR="00357034">
        <w:rPr>
          <w:lang w:val="en-US"/>
        </w:rPr>
        <w:t xml:space="preserve">Details on </w:t>
      </w:r>
      <w:r w:rsidRPr="00FF2B6C">
        <w:rPr>
          <w:lang w:val="en-US"/>
        </w:rPr>
        <w:t xml:space="preserve">the </w:t>
      </w:r>
      <w:r w:rsidR="00DA350D" w:rsidRPr="00FF2B6C">
        <w:rPr>
          <w:lang w:val="en-US"/>
        </w:rPr>
        <w:t xml:space="preserve">Environics Focus Canada </w:t>
      </w:r>
      <w:r w:rsidR="00D117B7" w:rsidRPr="00FF2B6C">
        <w:rPr>
          <w:lang w:val="en-US"/>
        </w:rPr>
        <w:t>survey</w:t>
      </w:r>
      <w:r w:rsidR="00357034">
        <w:rPr>
          <w:lang w:val="en-US"/>
        </w:rPr>
        <w:t>s</w:t>
      </w:r>
      <w:r w:rsidR="00D117B7" w:rsidRPr="00FF2B6C">
        <w:rPr>
          <w:lang w:val="en-US"/>
        </w:rPr>
        <w:t xml:space="preserve"> </w:t>
      </w:r>
      <w:r w:rsidRPr="00FF2B6C">
        <w:rPr>
          <w:lang w:val="en-US"/>
        </w:rPr>
        <w:t>used in figure 1 and figure 2 are available in the online appendix</w:t>
      </w:r>
      <w:r w:rsidR="00312AA7" w:rsidRPr="00FF2B6C">
        <w:rPr>
          <w:lang w:val="en-US"/>
        </w:rPr>
        <w:t xml:space="preserve">. </w:t>
      </w:r>
    </w:p>
  </w:endnote>
  <w:endnote w:id="2">
    <w:p w14:paraId="37387AC7" w14:textId="2B7206E6" w:rsidR="00E21C2A" w:rsidRPr="00FF2B6C" w:rsidRDefault="00E21C2A">
      <w:pPr>
        <w:pStyle w:val="Notedefin"/>
        <w:rPr>
          <w:lang w:val="en-US"/>
        </w:rPr>
      </w:pPr>
      <w:r w:rsidRPr="00FF2B6C">
        <w:rPr>
          <w:rStyle w:val="Appeldenotedefin"/>
        </w:rPr>
        <w:endnoteRef/>
      </w:r>
      <w:r w:rsidRPr="00FF2B6C">
        <w:rPr>
          <w:lang w:val="en-US"/>
        </w:rPr>
        <w:t xml:space="preserve"> The series ends in 1997, the year the deficit was eliminated at the federal level. The series of questions about deficit handling ends in 2009.</w:t>
      </w:r>
    </w:p>
  </w:endnote>
  <w:endnote w:id="3">
    <w:p w14:paraId="25311D61" w14:textId="3D703437" w:rsidR="00E21C2A" w:rsidRPr="00FF2B6C" w:rsidRDefault="000503E1" w:rsidP="00DC2F54">
      <w:pPr>
        <w:pStyle w:val="Notedefin"/>
        <w:jc w:val="both"/>
        <w:rPr>
          <w:lang w:val="en-CA"/>
        </w:rPr>
      </w:pPr>
      <w:r w:rsidRPr="00FF2B6C">
        <w:rPr>
          <w:rStyle w:val="Appeldenotedefin"/>
        </w:rPr>
        <w:endnoteRef/>
      </w:r>
      <w:r w:rsidR="00E21C2A" w:rsidRPr="00FF2B6C">
        <w:rPr>
          <w:lang w:val="en-CA"/>
        </w:rPr>
        <w:t xml:space="preserve"> The EAP uses a dyads ratio algorithm to extract a latent measure of executive approval from different series of questions asked by various polling firms. The 163 quarterly measures of approval we use are aggregated from </w:t>
      </w:r>
      <w:r w:rsidR="00B00271" w:rsidRPr="00FF2B6C">
        <w:rPr>
          <w:lang w:val="en-CA"/>
        </w:rPr>
        <w:t>696</w:t>
      </w:r>
      <w:r w:rsidR="00E21C2A" w:rsidRPr="00FF2B6C">
        <w:rPr>
          <w:lang w:val="en-CA"/>
        </w:rPr>
        <w:t xml:space="preserve"> survey marginals coming from </w:t>
      </w:r>
      <w:r w:rsidR="00B00271" w:rsidRPr="00FF2B6C">
        <w:rPr>
          <w:lang w:val="en-CA"/>
        </w:rPr>
        <w:t>23</w:t>
      </w:r>
      <w:r w:rsidR="00E21C2A" w:rsidRPr="00FF2B6C">
        <w:rPr>
          <w:lang w:val="en-CA"/>
        </w:rPr>
        <w:t xml:space="preserve"> different survey series. The exact question wording varies over time and by polling firms, but all poll questions refer to approval of, or to satisfaction with, the sitting government</w:t>
      </w:r>
      <w:r w:rsidR="006260CE" w:rsidRPr="00FF2B6C">
        <w:rPr>
          <w:lang w:val="en-CA"/>
        </w:rPr>
        <w:t xml:space="preserve"> and/or the prime minister</w:t>
      </w:r>
      <w:r w:rsidR="00E21C2A" w:rsidRPr="00FF2B6C">
        <w:rPr>
          <w:lang w:val="en-CA"/>
        </w:rPr>
        <w:t xml:space="preserve">. Additional explanations of the method used </w:t>
      </w:r>
      <w:r w:rsidR="00633FDC" w:rsidRPr="00FF2B6C">
        <w:rPr>
          <w:lang w:val="en-CA"/>
        </w:rPr>
        <w:t xml:space="preserve">by the EAP </w:t>
      </w:r>
      <w:r w:rsidR="00E21C2A" w:rsidRPr="00FF2B6C">
        <w:rPr>
          <w:lang w:val="en-CA"/>
        </w:rPr>
        <w:t xml:space="preserve">to construct the series are available in the online appendix. </w:t>
      </w:r>
    </w:p>
  </w:endnote>
  <w:endnote w:id="4">
    <w:p w14:paraId="17A0025C" w14:textId="5061C759" w:rsidR="00E21C2A" w:rsidRPr="00FF2B6C" w:rsidRDefault="00E21C2A">
      <w:pPr>
        <w:pStyle w:val="Notedefin"/>
        <w:rPr>
          <w:lang w:val="en-US"/>
        </w:rPr>
      </w:pPr>
      <w:r w:rsidRPr="00FF2B6C">
        <w:rPr>
          <w:rStyle w:val="Appeldenotedefin"/>
        </w:rPr>
        <w:endnoteRef/>
      </w:r>
      <w:r w:rsidRPr="00FF2B6C">
        <w:rPr>
          <w:lang w:val="en-US"/>
        </w:rPr>
        <w:t xml:space="preserve"> Unfortunately, we cannot model the effect of citizens’ perceptions of the economy since historical series of consumer </w:t>
      </w:r>
      <w:r w:rsidR="00633FDC" w:rsidRPr="00FF2B6C">
        <w:rPr>
          <w:lang w:val="en-US"/>
        </w:rPr>
        <w:t xml:space="preserve">sentiment </w:t>
      </w:r>
      <w:r w:rsidRPr="00FF2B6C">
        <w:rPr>
          <w:lang w:val="en-US"/>
        </w:rPr>
        <w:t xml:space="preserve">are not available for Canada before 2002. This is a limitation </w:t>
      </w:r>
      <w:r w:rsidR="00633FDC" w:rsidRPr="00FF2B6C">
        <w:rPr>
          <w:lang w:val="en-US"/>
        </w:rPr>
        <w:t xml:space="preserve">to our </w:t>
      </w:r>
      <w:r w:rsidRPr="00FF2B6C">
        <w:rPr>
          <w:lang w:val="en-US"/>
        </w:rPr>
        <w:t xml:space="preserve">analysis. </w:t>
      </w:r>
    </w:p>
  </w:endnote>
  <w:endnote w:id="5">
    <w:p w14:paraId="6F824506" w14:textId="52297148" w:rsidR="00E21C2A" w:rsidRPr="00FF2B6C" w:rsidRDefault="00E21C2A">
      <w:pPr>
        <w:pStyle w:val="Notedefin"/>
        <w:rPr>
          <w:lang w:val="en-US"/>
        </w:rPr>
      </w:pPr>
      <w:r w:rsidRPr="00FF2B6C">
        <w:rPr>
          <w:rStyle w:val="Appeldenotedefin"/>
        </w:rPr>
        <w:endnoteRef/>
      </w:r>
      <w:r w:rsidRPr="00FF2B6C">
        <w:rPr>
          <w:lang w:val="en-US"/>
        </w:rPr>
        <w:t xml:space="preserve"> Using the log transformation of the cost of ruling variable does</w:t>
      </w:r>
      <w:r w:rsidR="00633FDC" w:rsidRPr="00FF2B6C">
        <w:rPr>
          <w:lang w:val="en-US"/>
        </w:rPr>
        <w:t xml:space="preserve"> </w:t>
      </w:r>
      <w:r w:rsidRPr="00FF2B6C">
        <w:rPr>
          <w:lang w:val="en-US"/>
        </w:rPr>
        <w:t>n</w:t>
      </w:r>
      <w:r w:rsidR="00633FDC" w:rsidRPr="00FF2B6C">
        <w:rPr>
          <w:lang w:val="en-US"/>
        </w:rPr>
        <w:t>o</w:t>
      </w:r>
      <w:r w:rsidRPr="00FF2B6C">
        <w:rPr>
          <w:lang w:val="en-US"/>
        </w:rPr>
        <w:t>t change the result.</w:t>
      </w:r>
    </w:p>
  </w:endnote>
  <w:endnote w:id="6">
    <w:p w14:paraId="300773B1" w14:textId="3E1F840F" w:rsidR="00E21C2A" w:rsidRPr="00FF2B6C" w:rsidRDefault="00E21C2A" w:rsidP="00DC2F54">
      <w:pPr>
        <w:pStyle w:val="Notedefin"/>
        <w:rPr>
          <w:lang w:val="en-US"/>
        </w:rPr>
      </w:pPr>
      <w:r w:rsidRPr="00FF2B6C">
        <w:rPr>
          <w:rStyle w:val="Appeldenotedefin"/>
        </w:rPr>
        <w:endnoteRef/>
      </w:r>
      <w:r w:rsidRPr="00FF2B6C">
        <w:rPr>
          <w:lang w:val="en-US"/>
        </w:rPr>
        <w:t xml:space="preserve"> </w:t>
      </w:r>
      <w:r w:rsidRPr="00FF2B6C">
        <w:rPr>
          <w:color w:val="000000" w:themeColor="text1"/>
          <w:lang w:val="en-US"/>
        </w:rPr>
        <w:t>These are the 1982 patriation of the constitution, the failure of the Meech Lake agreement and the Charlottetown referendum.</w:t>
      </w:r>
    </w:p>
  </w:endnote>
  <w:endnote w:id="7">
    <w:p w14:paraId="405B4788" w14:textId="1AEBA9BB" w:rsidR="00E21C2A" w:rsidRPr="00FF2B6C" w:rsidRDefault="00E21C2A" w:rsidP="00DC2F54">
      <w:pPr>
        <w:pStyle w:val="Notedefin"/>
        <w:rPr>
          <w:lang w:val="en-US"/>
        </w:rPr>
      </w:pPr>
      <w:r w:rsidRPr="00FF2B6C">
        <w:rPr>
          <w:rStyle w:val="Appeldenotedefin"/>
        </w:rPr>
        <w:endnoteRef/>
      </w:r>
      <w:r w:rsidRPr="00FF2B6C">
        <w:rPr>
          <w:lang w:val="en-US"/>
        </w:rPr>
        <w:t xml:space="preserve"> Dickey-Fuller</w:t>
      </w:r>
      <w:r w:rsidR="00D102A0" w:rsidRPr="00FF2B6C">
        <w:rPr>
          <w:lang w:val="en-US"/>
        </w:rPr>
        <w:t xml:space="preserve">, </w:t>
      </w:r>
      <w:r w:rsidRPr="00FF2B6C">
        <w:rPr>
          <w:lang w:val="en-US"/>
        </w:rPr>
        <w:t xml:space="preserve">Phillips-Perron </w:t>
      </w:r>
      <w:r w:rsidR="00D102A0" w:rsidRPr="00FF2B6C">
        <w:rPr>
          <w:lang w:val="en-US"/>
        </w:rPr>
        <w:t xml:space="preserve">and KPSS </w:t>
      </w:r>
      <w:r w:rsidRPr="00FF2B6C">
        <w:rPr>
          <w:lang w:val="en-US"/>
        </w:rPr>
        <w:t xml:space="preserve">tests. </w:t>
      </w:r>
    </w:p>
  </w:endnote>
  <w:endnote w:id="8">
    <w:p w14:paraId="141FC7FC" w14:textId="550F2FA2" w:rsidR="00F46857" w:rsidRPr="00FF2B6C" w:rsidRDefault="00F46857">
      <w:pPr>
        <w:pStyle w:val="Notedefin"/>
        <w:rPr>
          <w:lang w:val="en-US"/>
        </w:rPr>
      </w:pPr>
      <w:r w:rsidRPr="00FF2B6C">
        <w:rPr>
          <w:rStyle w:val="Appeldenotedefin"/>
        </w:rPr>
        <w:endnoteRef/>
      </w:r>
      <w:r w:rsidRPr="00FF2B6C">
        <w:rPr>
          <w:lang w:val="en-US"/>
        </w:rPr>
        <w:t xml:space="preserve"> The coefficient and its standard error </w:t>
      </w:r>
      <w:r w:rsidR="00416F2B" w:rsidRPr="00FF2B6C">
        <w:rPr>
          <w:lang w:val="en-US"/>
        </w:rPr>
        <w:t xml:space="preserve">are calculated using the </w:t>
      </w:r>
      <w:r w:rsidR="00416F2B" w:rsidRPr="00FF2B6C">
        <w:rPr>
          <w:i/>
          <w:iCs/>
          <w:lang w:val="en-US"/>
        </w:rPr>
        <w:t>lincom</w:t>
      </w:r>
      <w:r w:rsidR="00416F2B" w:rsidRPr="00FF2B6C">
        <w:rPr>
          <w:lang w:val="en-US"/>
        </w:rPr>
        <w:t xml:space="preserve"> function in Stata</w:t>
      </w:r>
    </w:p>
  </w:endnote>
  <w:endnote w:id="9">
    <w:p w14:paraId="41569698" w14:textId="15E09EDF" w:rsidR="00E21C2A" w:rsidRPr="00DC2F54" w:rsidRDefault="00E21C2A" w:rsidP="007305E1">
      <w:pPr>
        <w:jc w:val="both"/>
        <w:rPr>
          <w:sz w:val="20"/>
          <w:szCs w:val="20"/>
          <w:lang w:val="en-US"/>
        </w:rPr>
      </w:pPr>
      <w:r w:rsidRPr="00FF2B6C">
        <w:rPr>
          <w:rStyle w:val="Appeldenotedefin"/>
          <w:sz w:val="20"/>
          <w:szCs w:val="20"/>
        </w:rPr>
        <w:endnoteRef/>
      </w:r>
      <w:r w:rsidRPr="00FF2B6C">
        <w:rPr>
          <w:sz w:val="20"/>
          <w:szCs w:val="20"/>
          <w:lang w:val="en-US"/>
        </w:rPr>
        <w:t xml:space="preserve"> </w:t>
      </w:r>
      <w:r w:rsidR="00DA350D" w:rsidRPr="00FF2B6C">
        <w:rPr>
          <w:sz w:val="20"/>
          <w:szCs w:val="20"/>
          <w:lang w:val="en-US"/>
        </w:rPr>
        <w:t xml:space="preserve">In </w:t>
      </w:r>
      <w:r w:rsidRPr="00FF2B6C">
        <w:rPr>
          <w:sz w:val="20"/>
          <w:szCs w:val="20"/>
          <w:lang w:val="en-US"/>
        </w:rPr>
        <w:t>the appendix, we present and discuss rolling regressions of the coefficients of the economic variables. The</w:t>
      </w:r>
      <w:r w:rsidR="001F02BD" w:rsidRPr="00FF2B6C">
        <w:rPr>
          <w:sz w:val="20"/>
          <w:szCs w:val="20"/>
          <w:lang w:val="en-US"/>
        </w:rPr>
        <w:t>se</w:t>
      </w:r>
      <w:r w:rsidRPr="00FF2B6C">
        <w:rPr>
          <w:sz w:val="20"/>
          <w:szCs w:val="20"/>
          <w:lang w:val="en-US"/>
        </w:rPr>
        <w:t xml:space="preserve"> rolling regression</w:t>
      </w:r>
      <w:r w:rsidR="001F02BD" w:rsidRPr="00FF2B6C">
        <w:rPr>
          <w:sz w:val="20"/>
          <w:szCs w:val="20"/>
          <w:lang w:val="en-US"/>
        </w:rPr>
        <w:t>s</w:t>
      </w:r>
      <w:r w:rsidRPr="00FF2B6C">
        <w:rPr>
          <w:sz w:val="20"/>
          <w:szCs w:val="20"/>
          <w:lang w:val="en-US"/>
        </w:rPr>
        <w:t xml:space="preserve"> confirm the declining effect of the economy over</w:t>
      </w:r>
      <w:r w:rsidR="001F02BD" w:rsidRPr="00FF2B6C">
        <w:rPr>
          <w:sz w:val="20"/>
          <w:szCs w:val="20"/>
          <w:lang w:val="en-US"/>
        </w:rPr>
        <w:t xml:space="preserve"> </w:t>
      </w:r>
      <w:r w:rsidRPr="00FF2B6C">
        <w:rPr>
          <w:sz w:val="20"/>
          <w:szCs w:val="20"/>
          <w:lang w:val="en-US"/>
        </w:rPr>
        <w:t>time that w</w:t>
      </w:r>
      <w:r w:rsidR="001F02BD" w:rsidRPr="00FF2B6C">
        <w:rPr>
          <w:sz w:val="20"/>
          <w:szCs w:val="20"/>
          <w:lang w:val="en-US"/>
        </w:rPr>
        <w:t xml:space="preserve">as </w:t>
      </w:r>
      <w:r w:rsidRPr="00FF2B6C">
        <w:rPr>
          <w:sz w:val="20"/>
          <w:szCs w:val="20"/>
          <w:lang w:val="en-US"/>
        </w:rPr>
        <w:t>found in table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03368344"/>
      <w:docPartObj>
        <w:docPartGallery w:val="Page Numbers (Bottom of Page)"/>
        <w:docPartUnique/>
      </w:docPartObj>
    </w:sdtPr>
    <w:sdtEndPr>
      <w:rPr>
        <w:rStyle w:val="Numrodepage"/>
      </w:rPr>
    </w:sdtEndPr>
    <w:sdtContent>
      <w:p w14:paraId="401DB142" w14:textId="24D2E197" w:rsidR="002466C2" w:rsidRDefault="002466C2" w:rsidP="008A42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4104B18" w14:textId="77777777" w:rsidR="002466C2" w:rsidRDefault="002466C2" w:rsidP="002466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86433799"/>
      <w:docPartObj>
        <w:docPartGallery w:val="Page Numbers (Bottom of Page)"/>
        <w:docPartUnique/>
      </w:docPartObj>
    </w:sdtPr>
    <w:sdtEndPr>
      <w:rPr>
        <w:rStyle w:val="Numrodepage"/>
      </w:rPr>
    </w:sdtEndPr>
    <w:sdtContent>
      <w:p w14:paraId="0D54EB53" w14:textId="34FB740D" w:rsidR="002466C2" w:rsidRDefault="002466C2" w:rsidP="008A42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4CC5139" w14:textId="77777777" w:rsidR="002466C2" w:rsidRDefault="002466C2" w:rsidP="002466C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6BCE" w14:textId="77777777" w:rsidR="00E2061A" w:rsidRDefault="00E2061A" w:rsidP="002A3C00">
      <w:r>
        <w:separator/>
      </w:r>
    </w:p>
  </w:footnote>
  <w:footnote w:type="continuationSeparator" w:id="0">
    <w:p w14:paraId="2DDD552E" w14:textId="77777777" w:rsidR="00E2061A" w:rsidRDefault="00E2061A" w:rsidP="002A3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99A"/>
    <w:multiLevelType w:val="hybridMultilevel"/>
    <w:tmpl w:val="96F6E5C4"/>
    <w:lvl w:ilvl="0" w:tplc="692880A8">
      <w:start w:val="1"/>
      <w:numFmt w:val="bullet"/>
      <w:lvlText w:val=""/>
      <w:lvlJc w:val="left"/>
      <w:pPr>
        <w:ind w:left="720" w:hanging="360"/>
      </w:pPr>
      <w:rPr>
        <w:rFonts w:ascii="Symbol" w:hAnsi="Symbol" w:hint="default"/>
        <w:sz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7337950"/>
    <w:multiLevelType w:val="hybridMultilevel"/>
    <w:tmpl w:val="08BA3F5E"/>
    <w:lvl w:ilvl="0" w:tplc="2432024A">
      <w:start w:val="8"/>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35CD3"/>
    <w:multiLevelType w:val="hybridMultilevel"/>
    <w:tmpl w:val="CF3E3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14"/>
    <w:rsid w:val="000027B4"/>
    <w:rsid w:val="00034820"/>
    <w:rsid w:val="000369CF"/>
    <w:rsid w:val="00046CFC"/>
    <w:rsid w:val="00047401"/>
    <w:rsid w:val="0004784A"/>
    <w:rsid w:val="000503E1"/>
    <w:rsid w:val="0005787A"/>
    <w:rsid w:val="0006040D"/>
    <w:rsid w:val="00072524"/>
    <w:rsid w:val="00073B15"/>
    <w:rsid w:val="00076A28"/>
    <w:rsid w:val="00086773"/>
    <w:rsid w:val="00087325"/>
    <w:rsid w:val="00087F7F"/>
    <w:rsid w:val="000A42E4"/>
    <w:rsid w:val="000A4DC6"/>
    <w:rsid w:val="000B2E82"/>
    <w:rsid w:val="000C0B66"/>
    <w:rsid w:val="000C3C49"/>
    <w:rsid w:val="000D1717"/>
    <w:rsid w:val="000E57B8"/>
    <w:rsid w:val="000F3CBF"/>
    <w:rsid w:val="000F474C"/>
    <w:rsid w:val="000F7F44"/>
    <w:rsid w:val="001007BE"/>
    <w:rsid w:val="00102A03"/>
    <w:rsid w:val="00116993"/>
    <w:rsid w:val="00125129"/>
    <w:rsid w:val="00125685"/>
    <w:rsid w:val="00130D01"/>
    <w:rsid w:val="00132C9D"/>
    <w:rsid w:val="00134F1D"/>
    <w:rsid w:val="001368D1"/>
    <w:rsid w:val="00180A43"/>
    <w:rsid w:val="00186AB1"/>
    <w:rsid w:val="00197747"/>
    <w:rsid w:val="001B6DB1"/>
    <w:rsid w:val="001C3C98"/>
    <w:rsid w:val="001C7D2F"/>
    <w:rsid w:val="001D5923"/>
    <w:rsid w:val="001D7BE3"/>
    <w:rsid w:val="001E6296"/>
    <w:rsid w:val="001E6C8C"/>
    <w:rsid w:val="001F02BD"/>
    <w:rsid w:val="001F7F25"/>
    <w:rsid w:val="002044D3"/>
    <w:rsid w:val="00204C6E"/>
    <w:rsid w:val="00217B97"/>
    <w:rsid w:val="00224463"/>
    <w:rsid w:val="00233856"/>
    <w:rsid w:val="002351D5"/>
    <w:rsid w:val="00241DB6"/>
    <w:rsid w:val="00244AF5"/>
    <w:rsid w:val="0024613F"/>
    <w:rsid w:val="002466C2"/>
    <w:rsid w:val="0025341A"/>
    <w:rsid w:val="00264873"/>
    <w:rsid w:val="00272D05"/>
    <w:rsid w:val="00275547"/>
    <w:rsid w:val="00275C9D"/>
    <w:rsid w:val="00294D59"/>
    <w:rsid w:val="002A0A2D"/>
    <w:rsid w:val="002A3C00"/>
    <w:rsid w:val="002C5815"/>
    <w:rsid w:val="002D3C75"/>
    <w:rsid w:val="002D6FAD"/>
    <w:rsid w:val="002F2C42"/>
    <w:rsid w:val="002F4A0F"/>
    <w:rsid w:val="00305D4B"/>
    <w:rsid w:val="00312AA7"/>
    <w:rsid w:val="0032039E"/>
    <w:rsid w:val="00322F30"/>
    <w:rsid w:val="00332A6C"/>
    <w:rsid w:val="003417AD"/>
    <w:rsid w:val="003479DB"/>
    <w:rsid w:val="00353B6C"/>
    <w:rsid w:val="00354ED8"/>
    <w:rsid w:val="0035673C"/>
    <w:rsid w:val="00357034"/>
    <w:rsid w:val="0036752B"/>
    <w:rsid w:val="00382535"/>
    <w:rsid w:val="003973DB"/>
    <w:rsid w:val="003A3111"/>
    <w:rsid w:val="003A312A"/>
    <w:rsid w:val="003A44B7"/>
    <w:rsid w:val="003D2ED5"/>
    <w:rsid w:val="003D7F65"/>
    <w:rsid w:val="003E60C8"/>
    <w:rsid w:val="004115EA"/>
    <w:rsid w:val="00412081"/>
    <w:rsid w:val="0041600B"/>
    <w:rsid w:val="00416F2B"/>
    <w:rsid w:val="00423129"/>
    <w:rsid w:val="00432493"/>
    <w:rsid w:val="00434C4F"/>
    <w:rsid w:val="00444423"/>
    <w:rsid w:val="004452B3"/>
    <w:rsid w:val="00461813"/>
    <w:rsid w:val="004674C6"/>
    <w:rsid w:val="0046761E"/>
    <w:rsid w:val="00472F16"/>
    <w:rsid w:val="00483957"/>
    <w:rsid w:val="00486034"/>
    <w:rsid w:val="0048798F"/>
    <w:rsid w:val="0049150C"/>
    <w:rsid w:val="004A52E1"/>
    <w:rsid w:val="004B0DE7"/>
    <w:rsid w:val="004B4B47"/>
    <w:rsid w:val="004B7589"/>
    <w:rsid w:val="004C0AC4"/>
    <w:rsid w:val="004D045F"/>
    <w:rsid w:val="004D0F1B"/>
    <w:rsid w:val="004D32BF"/>
    <w:rsid w:val="004E4094"/>
    <w:rsid w:val="004E48DD"/>
    <w:rsid w:val="004E5E5E"/>
    <w:rsid w:val="00500966"/>
    <w:rsid w:val="00517D88"/>
    <w:rsid w:val="005421F7"/>
    <w:rsid w:val="00551D1A"/>
    <w:rsid w:val="00552BEA"/>
    <w:rsid w:val="00554F75"/>
    <w:rsid w:val="00563328"/>
    <w:rsid w:val="0057198A"/>
    <w:rsid w:val="005860D6"/>
    <w:rsid w:val="005A2A38"/>
    <w:rsid w:val="005C1B99"/>
    <w:rsid w:val="005C4EC8"/>
    <w:rsid w:val="005D109C"/>
    <w:rsid w:val="005D4929"/>
    <w:rsid w:val="006113FE"/>
    <w:rsid w:val="00611D9E"/>
    <w:rsid w:val="006260CE"/>
    <w:rsid w:val="006261F0"/>
    <w:rsid w:val="0062762E"/>
    <w:rsid w:val="00633FDC"/>
    <w:rsid w:val="00643A95"/>
    <w:rsid w:val="00660822"/>
    <w:rsid w:val="00680D8D"/>
    <w:rsid w:val="00683602"/>
    <w:rsid w:val="0069229C"/>
    <w:rsid w:val="006A6094"/>
    <w:rsid w:val="006A6731"/>
    <w:rsid w:val="006B57AD"/>
    <w:rsid w:val="006C433F"/>
    <w:rsid w:val="006C794A"/>
    <w:rsid w:val="006D715C"/>
    <w:rsid w:val="006E3C39"/>
    <w:rsid w:val="006F2CA7"/>
    <w:rsid w:val="006F6FC2"/>
    <w:rsid w:val="00710364"/>
    <w:rsid w:val="007126C2"/>
    <w:rsid w:val="00712CD8"/>
    <w:rsid w:val="00721EA4"/>
    <w:rsid w:val="00727162"/>
    <w:rsid w:val="007305E1"/>
    <w:rsid w:val="007351AF"/>
    <w:rsid w:val="00735850"/>
    <w:rsid w:val="007515D4"/>
    <w:rsid w:val="0075267A"/>
    <w:rsid w:val="00765FBB"/>
    <w:rsid w:val="00773CF0"/>
    <w:rsid w:val="00776D33"/>
    <w:rsid w:val="00777692"/>
    <w:rsid w:val="007900DB"/>
    <w:rsid w:val="00796696"/>
    <w:rsid w:val="007B573C"/>
    <w:rsid w:val="007B617C"/>
    <w:rsid w:val="007C3E19"/>
    <w:rsid w:val="007D65BA"/>
    <w:rsid w:val="007D73EE"/>
    <w:rsid w:val="007F387E"/>
    <w:rsid w:val="00800A34"/>
    <w:rsid w:val="00811225"/>
    <w:rsid w:val="00817612"/>
    <w:rsid w:val="00821ECF"/>
    <w:rsid w:val="00832E3B"/>
    <w:rsid w:val="00851163"/>
    <w:rsid w:val="00855122"/>
    <w:rsid w:val="008622F3"/>
    <w:rsid w:val="0086704C"/>
    <w:rsid w:val="00896FDA"/>
    <w:rsid w:val="008A6065"/>
    <w:rsid w:val="008A7A67"/>
    <w:rsid w:val="008D5885"/>
    <w:rsid w:val="008D6287"/>
    <w:rsid w:val="00911B55"/>
    <w:rsid w:val="009200B3"/>
    <w:rsid w:val="00923D60"/>
    <w:rsid w:val="00933FAD"/>
    <w:rsid w:val="009436A4"/>
    <w:rsid w:val="00961D43"/>
    <w:rsid w:val="00964B5F"/>
    <w:rsid w:val="00972037"/>
    <w:rsid w:val="00973ACF"/>
    <w:rsid w:val="00992016"/>
    <w:rsid w:val="009A7E3F"/>
    <w:rsid w:val="009B5395"/>
    <w:rsid w:val="009C0665"/>
    <w:rsid w:val="009D4851"/>
    <w:rsid w:val="009D6EAD"/>
    <w:rsid w:val="009E5485"/>
    <w:rsid w:val="009F46D7"/>
    <w:rsid w:val="00A0519A"/>
    <w:rsid w:val="00A06CF0"/>
    <w:rsid w:val="00A33D34"/>
    <w:rsid w:val="00A35837"/>
    <w:rsid w:val="00A40F80"/>
    <w:rsid w:val="00A46215"/>
    <w:rsid w:val="00A648E0"/>
    <w:rsid w:val="00A669BD"/>
    <w:rsid w:val="00A844F5"/>
    <w:rsid w:val="00A929E3"/>
    <w:rsid w:val="00AB14DF"/>
    <w:rsid w:val="00AB6B36"/>
    <w:rsid w:val="00AB7953"/>
    <w:rsid w:val="00AD6993"/>
    <w:rsid w:val="00AD76A2"/>
    <w:rsid w:val="00AF3FDB"/>
    <w:rsid w:val="00AF41A8"/>
    <w:rsid w:val="00AF5DFA"/>
    <w:rsid w:val="00AF729F"/>
    <w:rsid w:val="00B00271"/>
    <w:rsid w:val="00B02EFA"/>
    <w:rsid w:val="00B15796"/>
    <w:rsid w:val="00B24AB6"/>
    <w:rsid w:val="00B313E8"/>
    <w:rsid w:val="00B3145E"/>
    <w:rsid w:val="00B43483"/>
    <w:rsid w:val="00B53953"/>
    <w:rsid w:val="00B6307E"/>
    <w:rsid w:val="00B758AE"/>
    <w:rsid w:val="00B8315E"/>
    <w:rsid w:val="00B8328E"/>
    <w:rsid w:val="00B97487"/>
    <w:rsid w:val="00BA399F"/>
    <w:rsid w:val="00BC5981"/>
    <w:rsid w:val="00BD2A51"/>
    <w:rsid w:val="00BE1C2F"/>
    <w:rsid w:val="00BE422C"/>
    <w:rsid w:val="00BF1EF3"/>
    <w:rsid w:val="00C01A2B"/>
    <w:rsid w:val="00C11CBA"/>
    <w:rsid w:val="00C356BC"/>
    <w:rsid w:val="00C40D49"/>
    <w:rsid w:val="00C44A81"/>
    <w:rsid w:val="00C5095A"/>
    <w:rsid w:val="00C521FA"/>
    <w:rsid w:val="00C54EC1"/>
    <w:rsid w:val="00C65026"/>
    <w:rsid w:val="00C66BF0"/>
    <w:rsid w:val="00C67478"/>
    <w:rsid w:val="00C7575B"/>
    <w:rsid w:val="00C845B2"/>
    <w:rsid w:val="00C86216"/>
    <w:rsid w:val="00C87A50"/>
    <w:rsid w:val="00C93A8A"/>
    <w:rsid w:val="00CA1F11"/>
    <w:rsid w:val="00CA283A"/>
    <w:rsid w:val="00CA68BE"/>
    <w:rsid w:val="00CB105B"/>
    <w:rsid w:val="00CD5108"/>
    <w:rsid w:val="00CD5B3F"/>
    <w:rsid w:val="00CE1F8D"/>
    <w:rsid w:val="00CE32B3"/>
    <w:rsid w:val="00CE68D8"/>
    <w:rsid w:val="00CF217C"/>
    <w:rsid w:val="00CF57AC"/>
    <w:rsid w:val="00D102A0"/>
    <w:rsid w:val="00D107B1"/>
    <w:rsid w:val="00D117B7"/>
    <w:rsid w:val="00D1419A"/>
    <w:rsid w:val="00D2000F"/>
    <w:rsid w:val="00D2273F"/>
    <w:rsid w:val="00D35254"/>
    <w:rsid w:val="00D5072C"/>
    <w:rsid w:val="00D55DA8"/>
    <w:rsid w:val="00D61D03"/>
    <w:rsid w:val="00D62C85"/>
    <w:rsid w:val="00D946DA"/>
    <w:rsid w:val="00DA138C"/>
    <w:rsid w:val="00DA350D"/>
    <w:rsid w:val="00DB1522"/>
    <w:rsid w:val="00DB17D8"/>
    <w:rsid w:val="00DB4333"/>
    <w:rsid w:val="00DC2F54"/>
    <w:rsid w:val="00DC3E8C"/>
    <w:rsid w:val="00DE1A91"/>
    <w:rsid w:val="00DE6EF0"/>
    <w:rsid w:val="00DF2C78"/>
    <w:rsid w:val="00E12C06"/>
    <w:rsid w:val="00E2061A"/>
    <w:rsid w:val="00E21C2A"/>
    <w:rsid w:val="00E30257"/>
    <w:rsid w:val="00E37321"/>
    <w:rsid w:val="00E444BB"/>
    <w:rsid w:val="00E527E8"/>
    <w:rsid w:val="00E53F57"/>
    <w:rsid w:val="00E623DE"/>
    <w:rsid w:val="00E64537"/>
    <w:rsid w:val="00E6462E"/>
    <w:rsid w:val="00E70714"/>
    <w:rsid w:val="00E855B5"/>
    <w:rsid w:val="00E94BAE"/>
    <w:rsid w:val="00E96B24"/>
    <w:rsid w:val="00E9735E"/>
    <w:rsid w:val="00EA042C"/>
    <w:rsid w:val="00EB185B"/>
    <w:rsid w:val="00EB59D2"/>
    <w:rsid w:val="00EC408B"/>
    <w:rsid w:val="00EF7AF5"/>
    <w:rsid w:val="00F0714E"/>
    <w:rsid w:val="00F17F84"/>
    <w:rsid w:val="00F25DFB"/>
    <w:rsid w:val="00F33A77"/>
    <w:rsid w:val="00F34526"/>
    <w:rsid w:val="00F46857"/>
    <w:rsid w:val="00F65BD8"/>
    <w:rsid w:val="00F65CB6"/>
    <w:rsid w:val="00F7565B"/>
    <w:rsid w:val="00F7679B"/>
    <w:rsid w:val="00F96421"/>
    <w:rsid w:val="00FB4DC6"/>
    <w:rsid w:val="00FC7FAE"/>
    <w:rsid w:val="00FD6C70"/>
    <w:rsid w:val="00FE41A9"/>
    <w:rsid w:val="00FF2284"/>
    <w:rsid w:val="00FF2B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8DBB"/>
  <w15:chartTrackingRefBased/>
  <w15:docId w15:val="{DC827641-AF77-6947-BA7F-3801E554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17"/>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A68BE"/>
    <w:rPr>
      <w:sz w:val="16"/>
      <w:szCs w:val="16"/>
    </w:rPr>
  </w:style>
  <w:style w:type="paragraph" w:styleId="Commentaire">
    <w:name w:val="annotation text"/>
    <w:basedOn w:val="Normal"/>
    <w:link w:val="CommentaireCar"/>
    <w:uiPriority w:val="99"/>
    <w:unhideWhenUsed/>
    <w:rsid w:val="00CA68BE"/>
    <w:rPr>
      <w:sz w:val="20"/>
      <w:szCs w:val="20"/>
    </w:rPr>
  </w:style>
  <w:style w:type="character" w:customStyle="1" w:styleId="CommentaireCar">
    <w:name w:val="Commentaire Car"/>
    <w:basedOn w:val="Policepardfaut"/>
    <w:link w:val="Commentaire"/>
    <w:uiPriority w:val="99"/>
    <w:rsid w:val="00CA68BE"/>
    <w:rPr>
      <w:sz w:val="20"/>
      <w:szCs w:val="20"/>
    </w:rPr>
  </w:style>
  <w:style w:type="paragraph" w:styleId="Objetducommentaire">
    <w:name w:val="annotation subject"/>
    <w:basedOn w:val="Commentaire"/>
    <w:next w:val="Commentaire"/>
    <w:link w:val="ObjetducommentaireCar"/>
    <w:uiPriority w:val="99"/>
    <w:semiHidden/>
    <w:unhideWhenUsed/>
    <w:rsid w:val="00CA68BE"/>
    <w:rPr>
      <w:b/>
      <w:bCs/>
    </w:rPr>
  </w:style>
  <w:style w:type="character" w:customStyle="1" w:styleId="ObjetducommentaireCar">
    <w:name w:val="Objet du commentaire Car"/>
    <w:basedOn w:val="CommentaireCar"/>
    <w:link w:val="Objetducommentaire"/>
    <w:uiPriority w:val="99"/>
    <w:semiHidden/>
    <w:rsid w:val="00CA68BE"/>
    <w:rPr>
      <w:b/>
      <w:bCs/>
      <w:sz w:val="20"/>
      <w:szCs w:val="20"/>
    </w:rPr>
  </w:style>
  <w:style w:type="paragraph" w:styleId="Paragraphedeliste">
    <w:name w:val="List Paragraph"/>
    <w:basedOn w:val="Normal"/>
    <w:uiPriority w:val="34"/>
    <w:qFormat/>
    <w:rsid w:val="00964B5F"/>
    <w:pPr>
      <w:ind w:left="720"/>
      <w:contextualSpacing/>
    </w:pPr>
  </w:style>
  <w:style w:type="paragraph" w:styleId="Notedebasdepage">
    <w:name w:val="footnote text"/>
    <w:basedOn w:val="Normal"/>
    <w:link w:val="NotedebasdepageCar"/>
    <w:uiPriority w:val="99"/>
    <w:semiHidden/>
    <w:unhideWhenUsed/>
    <w:rsid w:val="002A3C00"/>
    <w:rPr>
      <w:sz w:val="20"/>
      <w:szCs w:val="20"/>
      <w:lang w:val="en-US"/>
    </w:rPr>
  </w:style>
  <w:style w:type="character" w:customStyle="1" w:styleId="NotedebasdepageCar">
    <w:name w:val="Note de bas de page Car"/>
    <w:basedOn w:val="Policepardfaut"/>
    <w:link w:val="Notedebasdepage"/>
    <w:uiPriority w:val="99"/>
    <w:semiHidden/>
    <w:rsid w:val="002A3C00"/>
    <w:rPr>
      <w:sz w:val="20"/>
      <w:szCs w:val="20"/>
      <w:lang w:val="en-US"/>
    </w:rPr>
  </w:style>
  <w:style w:type="character" w:styleId="Appelnotedebasdep">
    <w:name w:val="footnote reference"/>
    <w:basedOn w:val="Policepardfaut"/>
    <w:uiPriority w:val="99"/>
    <w:semiHidden/>
    <w:unhideWhenUsed/>
    <w:rsid w:val="002A3C00"/>
    <w:rPr>
      <w:vertAlign w:val="superscript"/>
    </w:rPr>
  </w:style>
  <w:style w:type="paragraph" w:customStyle="1" w:styleId="EndNoteBibliography">
    <w:name w:val="EndNote Bibliography"/>
    <w:basedOn w:val="Normal"/>
    <w:link w:val="EndNoteBibliographyZchn"/>
    <w:rsid w:val="00B53953"/>
    <w:rPr>
      <w:noProof/>
      <w:lang w:val="en-US"/>
    </w:rPr>
  </w:style>
  <w:style w:type="character" w:customStyle="1" w:styleId="EndNoteBibliographyZchn">
    <w:name w:val="EndNote Bibliography Zchn"/>
    <w:basedOn w:val="Policepardfaut"/>
    <w:link w:val="EndNoteBibliography"/>
    <w:rsid w:val="00B53953"/>
    <w:rPr>
      <w:rFonts w:ascii="Times New Roman" w:eastAsia="Times New Roman" w:hAnsi="Times New Roman" w:cs="Times New Roman"/>
      <w:noProof/>
      <w:lang w:val="en-US"/>
    </w:rPr>
  </w:style>
  <w:style w:type="character" w:customStyle="1" w:styleId="apple-converted-space">
    <w:name w:val="apple-converted-space"/>
    <w:basedOn w:val="Policepardfaut"/>
    <w:rsid w:val="00A669BD"/>
  </w:style>
  <w:style w:type="paragraph" w:styleId="Textedebulles">
    <w:name w:val="Balloon Text"/>
    <w:basedOn w:val="Normal"/>
    <w:link w:val="TextedebullesCar"/>
    <w:uiPriority w:val="99"/>
    <w:semiHidden/>
    <w:unhideWhenUsed/>
    <w:rsid w:val="009B5395"/>
    <w:rPr>
      <w:sz w:val="18"/>
      <w:szCs w:val="18"/>
    </w:rPr>
  </w:style>
  <w:style w:type="character" w:customStyle="1" w:styleId="TextedebullesCar">
    <w:name w:val="Texte de bulles Car"/>
    <w:basedOn w:val="Policepardfaut"/>
    <w:link w:val="Textedebulles"/>
    <w:uiPriority w:val="99"/>
    <w:semiHidden/>
    <w:rsid w:val="009B5395"/>
    <w:rPr>
      <w:rFonts w:ascii="Times New Roman" w:eastAsia="Times New Roman" w:hAnsi="Times New Roman" w:cs="Times New Roman"/>
      <w:sz w:val="18"/>
      <w:szCs w:val="18"/>
      <w:lang w:eastAsia="fr-CA"/>
    </w:rPr>
  </w:style>
  <w:style w:type="paragraph" w:styleId="Pieddepage">
    <w:name w:val="footer"/>
    <w:basedOn w:val="Normal"/>
    <w:link w:val="PieddepageCar"/>
    <w:uiPriority w:val="99"/>
    <w:unhideWhenUsed/>
    <w:rsid w:val="002466C2"/>
    <w:pPr>
      <w:tabs>
        <w:tab w:val="center" w:pos="4320"/>
        <w:tab w:val="right" w:pos="8640"/>
      </w:tabs>
    </w:pPr>
  </w:style>
  <w:style w:type="character" w:customStyle="1" w:styleId="PieddepageCar">
    <w:name w:val="Pied de page Car"/>
    <w:basedOn w:val="Policepardfaut"/>
    <w:link w:val="Pieddepage"/>
    <w:uiPriority w:val="99"/>
    <w:rsid w:val="002466C2"/>
    <w:rPr>
      <w:rFonts w:ascii="Times New Roman" w:eastAsia="Times New Roman" w:hAnsi="Times New Roman" w:cs="Times New Roman"/>
      <w:lang w:eastAsia="fr-CA"/>
    </w:rPr>
  </w:style>
  <w:style w:type="character" w:styleId="Numrodepage">
    <w:name w:val="page number"/>
    <w:basedOn w:val="Policepardfaut"/>
    <w:uiPriority w:val="99"/>
    <w:semiHidden/>
    <w:unhideWhenUsed/>
    <w:rsid w:val="002466C2"/>
  </w:style>
  <w:style w:type="paragraph" w:customStyle="1" w:styleId="Default">
    <w:name w:val="Default"/>
    <w:rsid w:val="00A33D34"/>
    <w:pPr>
      <w:autoSpaceDE w:val="0"/>
      <w:autoSpaceDN w:val="0"/>
      <w:adjustRightInd w:val="0"/>
    </w:pPr>
    <w:rPr>
      <w:rFonts w:ascii="Times New Roman" w:hAnsi="Times New Roman" w:cs="Times New Roman"/>
      <w:color w:val="000000"/>
    </w:rPr>
  </w:style>
  <w:style w:type="paragraph" w:styleId="Rvision">
    <w:name w:val="Revision"/>
    <w:hidden/>
    <w:uiPriority w:val="99"/>
    <w:semiHidden/>
    <w:rsid w:val="004D045F"/>
    <w:rPr>
      <w:rFonts w:ascii="Times New Roman" w:eastAsia="Times New Roman" w:hAnsi="Times New Roman" w:cs="Times New Roman"/>
      <w:lang w:eastAsia="fr-CA"/>
    </w:rPr>
  </w:style>
  <w:style w:type="paragraph" w:styleId="Notedefin">
    <w:name w:val="endnote text"/>
    <w:basedOn w:val="Normal"/>
    <w:link w:val="NotedefinCar"/>
    <w:uiPriority w:val="99"/>
    <w:semiHidden/>
    <w:unhideWhenUsed/>
    <w:rsid w:val="00E21C2A"/>
    <w:rPr>
      <w:sz w:val="20"/>
      <w:szCs w:val="20"/>
    </w:rPr>
  </w:style>
  <w:style w:type="character" w:customStyle="1" w:styleId="NotedefinCar">
    <w:name w:val="Note de fin Car"/>
    <w:basedOn w:val="Policepardfaut"/>
    <w:link w:val="Notedefin"/>
    <w:uiPriority w:val="99"/>
    <w:semiHidden/>
    <w:rsid w:val="00E21C2A"/>
    <w:rPr>
      <w:rFonts w:ascii="Times New Roman" w:eastAsia="Times New Roman" w:hAnsi="Times New Roman" w:cs="Times New Roman"/>
      <w:sz w:val="20"/>
      <w:szCs w:val="20"/>
      <w:lang w:eastAsia="fr-CA"/>
    </w:rPr>
  </w:style>
  <w:style w:type="character" w:styleId="Appeldenotedefin">
    <w:name w:val="endnote reference"/>
    <w:basedOn w:val="Policepardfaut"/>
    <w:uiPriority w:val="99"/>
    <w:semiHidden/>
    <w:unhideWhenUsed/>
    <w:rsid w:val="00E21C2A"/>
    <w:rPr>
      <w:vertAlign w:val="superscript"/>
    </w:rPr>
  </w:style>
  <w:style w:type="character" w:styleId="Hyperlien">
    <w:name w:val="Hyperlink"/>
    <w:basedOn w:val="Policepardfaut"/>
    <w:uiPriority w:val="99"/>
    <w:unhideWhenUsed/>
    <w:rsid w:val="003479DB"/>
    <w:rPr>
      <w:color w:val="0563C1" w:themeColor="hyperlink"/>
      <w:u w:val="single"/>
    </w:rPr>
  </w:style>
  <w:style w:type="character" w:styleId="Mentionnonrsolue">
    <w:name w:val="Unresolved Mention"/>
    <w:basedOn w:val="Policepardfaut"/>
    <w:uiPriority w:val="99"/>
    <w:semiHidden/>
    <w:unhideWhenUsed/>
    <w:rsid w:val="003479DB"/>
    <w:rPr>
      <w:color w:val="605E5C"/>
      <w:shd w:val="clear" w:color="auto" w:fill="E1DFDD"/>
    </w:rPr>
  </w:style>
  <w:style w:type="character" w:styleId="Lienvisit">
    <w:name w:val="FollowedHyperlink"/>
    <w:basedOn w:val="Policepardfaut"/>
    <w:uiPriority w:val="99"/>
    <w:semiHidden/>
    <w:unhideWhenUsed/>
    <w:rsid w:val="0049150C"/>
    <w:rPr>
      <w:color w:val="954F72" w:themeColor="followedHyperlink"/>
      <w:u w:val="single"/>
    </w:rPr>
  </w:style>
  <w:style w:type="paragraph" w:styleId="NormalWeb">
    <w:name w:val="Normal (Web)"/>
    <w:basedOn w:val="Normal"/>
    <w:uiPriority w:val="99"/>
    <w:semiHidden/>
    <w:unhideWhenUsed/>
    <w:rsid w:val="00FF2B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446">
      <w:bodyDiv w:val="1"/>
      <w:marLeft w:val="0"/>
      <w:marRight w:val="0"/>
      <w:marTop w:val="0"/>
      <w:marBottom w:val="0"/>
      <w:divBdr>
        <w:top w:val="none" w:sz="0" w:space="0" w:color="auto"/>
        <w:left w:val="none" w:sz="0" w:space="0" w:color="auto"/>
        <w:bottom w:val="none" w:sz="0" w:space="0" w:color="auto"/>
        <w:right w:val="none" w:sz="0" w:space="0" w:color="auto"/>
      </w:divBdr>
    </w:div>
    <w:div w:id="368720740">
      <w:bodyDiv w:val="1"/>
      <w:marLeft w:val="0"/>
      <w:marRight w:val="0"/>
      <w:marTop w:val="0"/>
      <w:marBottom w:val="0"/>
      <w:divBdr>
        <w:top w:val="none" w:sz="0" w:space="0" w:color="auto"/>
        <w:left w:val="none" w:sz="0" w:space="0" w:color="auto"/>
        <w:bottom w:val="none" w:sz="0" w:space="0" w:color="auto"/>
        <w:right w:val="none" w:sz="0" w:space="0" w:color="auto"/>
      </w:divBdr>
    </w:div>
    <w:div w:id="447700442">
      <w:bodyDiv w:val="1"/>
      <w:marLeft w:val="0"/>
      <w:marRight w:val="0"/>
      <w:marTop w:val="0"/>
      <w:marBottom w:val="0"/>
      <w:divBdr>
        <w:top w:val="none" w:sz="0" w:space="0" w:color="auto"/>
        <w:left w:val="none" w:sz="0" w:space="0" w:color="auto"/>
        <w:bottom w:val="none" w:sz="0" w:space="0" w:color="auto"/>
        <w:right w:val="none" w:sz="0" w:space="0" w:color="auto"/>
      </w:divBdr>
    </w:div>
    <w:div w:id="523324524">
      <w:bodyDiv w:val="1"/>
      <w:marLeft w:val="0"/>
      <w:marRight w:val="0"/>
      <w:marTop w:val="0"/>
      <w:marBottom w:val="0"/>
      <w:divBdr>
        <w:top w:val="none" w:sz="0" w:space="0" w:color="auto"/>
        <w:left w:val="none" w:sz="0" w:space="0" w:color="auto"/>
        <w:bottom w:val="none" w:sz="0" w:space="0" w:color="auto"/>
        <w:right w:val="none" w:sz="0" w:space="0" w:color="auto"/>
      </w:divBdr>
    </w:div>
    <w:div w:id="739642211">
      <w:bodyDiv w:val="1"/>
      <w:marLeft w:val="0"/>
      <w:marRight w:val="0"/>
      <w:marTop w:val="0"/>
      <w:marBottom w:val="0"/>
      <w:divBdr>
        <w:top w:val="none" w:sz="0" w:space="0" w:color="auto"/>
        <w:left w:val="none" w:sz="0" w:space="0" w:color="auto"/>
        <w:bottom w:val="none" w:sz="0" w:space="0" w:color="auto"/>
        <w:right w:val="none" w:sz="0" w:space="0" w:color="auto"/>
      </w:divBdr>
    </w:div>
    <w:div w:id="744882521">
      <w:bodyDiv w:val="1"/>
      <w:marLeft w:val="0"/>
      <w:marRight w:val="0"/>
      <w:marTop w:val="0"/>
      <w:marBottom w:val="0"/>
      <w:divBdr>
        <w:top w:val="none" w:sz="0" w:space="0" w:color="auto"/>
        <w:left w:val="none" w:sz="0" w:space="0" w:color="auto"/>
        <w:bottom w:val="none" w:sz="0" w:space="0" w:color="auto"/>
        <w:right w:val="none" w:sz="0" w:space="0" w:color="auto"/>
      </w:divBdr>
    </w:div>
    <w:div w:id="929512137">
      <w:bodyDiv w:val="1"/>
      <w:marLeft w:val="0"/>
      <w:marRight w:val="0"/>
      <w:marTop w:val="0"/>
      <w:marBottom w:val="0"/>
      <w:divBdr>
        <w:top w:val="none" w:sz="0" w:space="0" w:color="auto"/>
        <w:left w:val="none" w:sz="0" w:space="0" w:color="auto"/>
        <w:bottom w:val="none" w:sz="0" w:space="0" w:color="auto"/>
        <w:right w:val="none" w:sz="0" w:space="0" w:color="auto"/>
      </w:divBdr>
    </w:div>
    <w:div w:id="1055852346">
      <w:bodyDiv w:val="1"/>
      <w:marLeft w:val="0"/>
      <w:marRight w:val="0"/>
      <w:marTop w:val="0"/>
      <w:marBottom w:val="0"/>
      <w:divBdr>
        <w:top w:val="none" w:sz="0" w:space="0" w:color="auto"/>
        <w:left w:val="none" w:sz="0" w:space="0" w:color="auto"/>
        <w:bottom w:val="none" w:sz="0" w:space="0" w:color="auto"/>
        <w:right w:val="none" w:sz="0" w:space="0" w:color="auto"/>
      </w:divBdr>
    </w:div>
    <w:div w:id="1178035432">
      <w:bodyDiv w:val="1"/>
      <w:marLeft w:val="0"/>
      <w:marRight w:val="0"/>
      <w:marTop w:val="0"/>
      <w:marBottom w:val="0"/>
      <w:divBdr>
        <w:top w:val="none" w:sz="0" w:space="0" w:color="auto"/>
        <w:left w:val="none" w:sz="0" w:space="0" w:color="auto"/>
        <w:bottom w:val="none" w:sz="0" w:space="0" w:color="auto"/>
        <w:right w:val="none" w:sz="0" w:space="0" w:color="auto"/>
      </w:divBdr>
      <w:divsChild>
        <w:div w:id="1988197476">
          <w:marLeft w:val="0"/>
          <w:marRight w:val="0"/>
          <w:marTop w:val="0"/>
          <w:marBottom w:val="0"/>
          <w:divBdr>
            <w:top w:val="none" w:sz="0" w:space="0" w:color="auto"/>
            <w:left w:val="none" w:sz="0" w:space="0" w:color="auto"/>
            <w:bottom w:val="none" w:sz="0" w:space="0" w:color="auto"/>
            <w:right w:val="none" w:sz="0" w:space="0" w:color="auto"/>
          </w:divBdr>
          <w:divsChild>
            <w:div w:id="268200340">
              <w:marLeft w:val="0"/>
              <w:marRight w:val="0"/>
              <w:marTop w:val="0"/>
              <w:marBottom w:val="0"/>
              <w:divBdr>
                <w:top w:val="none" w:sz="0" w:space="0" w:color="auto"/>
                <w:left w:val="none" w:sz="0" w:space="0" w:color="auto"/>
                <w:bottom w:val="none" w:sz="0" w:space="0" w:color="auto"/>
                <w:right w:val="none" w:sz="0" w:space="0" w:color="auto"/>
              </w:divBdr>
              <w:divsChild>
                <w:div w:id="4323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3948">
      <w:bodyDiv w:val="1"/>
      <w:marLeft w:val="0"/>
      <w:marRight w:val="0"/>
      <w:marTop w:val="0"/>
      <w:marBottom w:val="0"/>
      <w:divBdr>
        <w:top w:val="none" w:sz="0" w:space="0" w:color="auto"/>
        <w:left w:val="none" w:sz="0" w:space="0" w:color="auto"/>
        <w:bottom w:val="none" w:sz="0" w:space="0" w:color="auto"/>
        <w:right w:val="none" w:sz="0" w:space="0" w:color="auto"/>
      </w:divBdr>
      <w:divsChild>
        <w:div w:id="1077360562">
          <w:marLeft w:val="0"/>
          <w:marRight w:val="0"/>
          <w:marTop w:val="0"/>
          <w:marBottom w:val="0"/>
          <w:divBdr>
            <w:top w:val="none" w:sz="0" w:space="0" w:color="auto"/>
            <w:left w:val="none" w:sz="0" w:space="0" w:color="auto"/>
            <w:bottom w:val="none" w:sz="0" w:space="0" w:color="auto"/>
            <w:right w:val="none" w:sz="0" w:space="0" w:color="auto"/>
          </w:divBdr>
        </w:div>
      </w:divsChild>
    </w:div>
    <w:div w:id="1399791612">
      <w:bodyDiv w:val="1"/>
      <w:marLeft w:val="0"/>
      <w:marRight w:val="0"/>
      <w:marTop w:val="0"/>
      <w:marBottom w:val="0"/>
      <w:divBdr>
        <w:top w:val="none" w:sz="0" w:space="0" w:color="auto"/>
        <w:left w:val="none" w:sz="0" w:space="0" w:color="auto"/>
        <w:bottom w:val="none" w:sz="0" w:space="0" w:color="auto"/>
        <w:right w:val="none" w:sz="0" w:space="0" w:color="auto"/>
      </w:divBdr>
      <w:divsChild>
        <w:div w:id="578566497">
          <w:marLeft w:val="0"/>
          <w:marRight w:val="0"/>
          <w:marTop w:val="0"/>
          <w:marBottom w:val="0"/>
          <w:divBdr>
            <w:top w:val="none" w:sz="0" w:space="0" w:color="auto"/>
            <w:left w:val="none" w:sz="0" w:space="0" w:color="auto"/>
            <w:bottom w:val="none" w:sz="0" w:space="0" w:color="auto"/>
            <w:right w:val="none" w:sz="0" w:space="0" w:color="auto"/>
          </w:divBdr>
        </w:div>
      </w:divsChild>
    </w:div>
    <w:div w:id="1451825841">
      <w:bodyDiv w:val="1"/>
      <w:marLeft w:val="0"/>
      <w:marRight w:val="0"/>
      <w:marTop w:val="0"/>
      <w:marBottom w:val="0"/>
      <w:divBdr>
        <w:top w:val="none" w:sz="0" w:space="0" w:color="auto"/>
        <w:left w:val="none" w:sz="0" w:space="0" w:color="auto"/>
        <w:bottom w:val="none" w:sz="0" w:space="0" w:color="auto"/>
        <w:right w:val="none" w:sz="0" w:space="0" w:color="auto"/>
      </w:divBdr>
    </w:div>
    <w:div w:id="1534002848">
      <w:bodyDiv w:val="1"/>
      <w:marLeft w:val="0"/>
      <w:marRight w:val="0"/>
      <w:marTop w:val="0"/>
      <w:marBottom w:val="0"/>
      <w:divBdr>
        <w:top w:val="none" w:sz="0" w:space="0" w:color="auto"/>
        <w:left w:val="none" w:sz="0" w:space="0" w:color="auto"/>
        <w:bottom w:val="none" w:sz="0" w:space="0" w:color="auto"/>
        <w:right w:val="none" w:sz="0" w:space="0" w:color="auto"/>
      </w:divBdr>
      <w:divsChild>
        <w:div w:id="1142692668">
          <w:marLeft w:val="0"/>
          <w:marRight w:val="0"/>
          <w:marTop w:val="0"/>
          <w:marBottom w:val="0"/>
          <w:divBdr>
            <w:top w:val="none" w:sz="0" w:space="0" w:color="auto"/>
            <w:left w:val="none" w:sz="0" w:space="0" w:color="auto"/>
            <w:bottom w:val="none" w:sz="0" w:space="0" w:color="auto"/>
            <w:right w:val="none" w:sz="0" w:space="0" w:color="auto"/>
          </w:divBdr>
        </w:div>
      </w:divsChild>
    </w:div>
    <w:div w:id="1553468891">
      <w:bodyDiv w:val="1"/>
      <w:marLeft w:val="0"/>
      <w:marRight w:val="0"/>
      <w:marTop w:val="0"/>
      <w:marBottom w:val="0"/>
      <w:divBdr>
        <w:top w:val="none" w:sz="0" w:space="0" w:color="auto"/>
        <w:left w:val="none" w:sz="0" w:space="0" w:color="auto"/>
        <w:bottom w:val="none" w:sz="0" w:space="0" w:color="auto"/>
        <w:right w:val="none" w:sz="0" w:space="0" w:color="auto"/>
      </w:divBdr>
    </w:div>
    <w:div w:id="1819569804">
      <w:bodyDiv w:val="1"/>
      <w:marLeft w:val="0"/>
      <w:marRight w:val="0"/>
      <w:marTop w:val="0"/>
      <w:marBottom w:val="0"/>
      <w:divBdr>
        <w:top w:val="none" w:sz="0" w:space="0" w:color="auto"/>
        <w:left w:val="none" w:sz="0" w:space="0" w:color="auto"/>
        <w:bottom w:val="none" w:sz="0" w:space="0" w:color="auto"/>
        <w:right w:val="none" w:sz="0" w:space="0" w:color="auto"/>
      </w:divBdr>
    </w:div>
    <w:div w:id="2021619661">
      <w:bodyDiv w:val="1"/>
      <w:marLeft w:val="0"/>
      <w:marRight w:val="0"/>
      <w:marTop w:val="0"/>
      <w:marBottom w:val="0"/>
      <w:divBdr>
        <w:top w:val="none" w:sz="0" w:space="0" w:color="auto"/>
        <w:left w:val="none" w:sz="0" w:space="0" w:color="auto"/>
        <w:bottom w:val="none" w:sz="0" w:space="0" w:color="auto"/>
        <w:right w:val="none" w:sz="0" w:space="0" w:color="auto"/>
      </w:divBdr>
    </w:div>
    <w:div w:id="20695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olivierjacques\Desktop\approval%20and%20economy%20in%20Canada%20chapter\empirics\Figure%201%20and%202-approval%20Canad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olivierjacques\Desktop\Figure%201%20and%202-approval%20Canad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C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1"/>
          <c:order val="0"/>
          <c:spPr>
            <a:ln w="28575" cap="rnd">
              <a:solidFill>
                <a:schemeClr val="tx1"/>
              </a:solidFill>
              <a:round/>
            </a:ln>
            <a:effectLst/>
          </c:spPr>
          <c:marker>
            <c:symbol val="none"/>
          </c:marker>
          <c:cat>
            <c:numRef>
              <c:f>'Most important Environics'!$J$1:$AJ$1</c:f>
              <c:numCache>
                <c:formatCode>General</c:formatCode>
                <c:ptCount val="27"/>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2003</c:v>
                </c:pt>
                <c:pt idx="15">
                  <c:v>2004</c:v>
                </c:pt>
                <c:pt idx="16">
                  <c:v>2005</c:v>
                </c:pt>
                <c:pt idx="17">
                  <c:v>2006</c:v>
                </c:pt>
                <c:pt idx="18">
                  <c:v>2007</c:v>
                </c:pt>
                <c:pt idx="19">
                  <c:v>2008</c:v>
                </c:pt>
                <c:pt idx="20">
                  <c:v>2009</c:v>
                </c:pt>
                <c:pt idx="21">
                  <c:v>2010</c:v>
                </c:pt>
                <c:pt idx="22">
                  <c:v>2011</c:v>
                </c:pt>
                <c:pt idx="23">
                  <c:v>2012</c:v>
                </c:pt>
                <c:pt idx="24">
                  <c:v>2013</c:v>
                </c:pt>
                <c:pt idx="25">
                  <c:v>2017</c:v>
                </c:pt>
                <c:pt idx="26">
                  <c:v>2018</c:v>
                </c:pt>
              </c:numCache>
            </c:numRef>
          </c:cat>
          <c:val>
            <c:numRef>
              <c:f>'Most important Environics'!$J$2:$AJ$2</c:f>
              <c:numCache>
                <c:formatCode>General</c:formatCode>
                <c:ptCount val="27"/>
                <c:pt idx="0">
                  <c:v>3.95</c:v>
                </c:pt>
                <c:pt idx="1">
                  <c:v>4.8</c:v>
                </c:pt>
                <c:pt idx="2">
                  <c:v>3.95</c:v>
                </c:pt>
                <c:pt idx="3">
                  <c:v>3.125</c:v>
                </c:pt>
                <c:pt idx="4">
                  <c:v>2.1999999999999997</c:v>
                </c:pt>
                <c:pt idx="5">
                  <c:v>8.6999999999999993</c:v>
                </c:pt>
                <c:pt idx="6">
                  <c:v>11.25</c:v>
                </c:pt>
                <c:pt idx="7">
                  <c:v>11.7</c:v>
                </c:pt>
                <c:pt idx="8">
                  <c:v>6.8999999999999995</c:v>
                </c:pt>
                <c:pt idx="9">
                  <c:v>4.8</c:v>
                </c:pt>
                <c:pt idx="10">
                  <c:v>3.375</c:v>
                </c:pt>
                <c:pt idx="11">
                  <c:v>2.5</c:v>
                </c:pt>
                <c:pt idx="12">
                  <c:v>3</c:v>
                </c:pt>
                <c:pt idx="13">
                  <c:v>1.7749999999999999</c:v>
                </c:pt>
                <c:pt idx="14">
                  <c:v>1.6750000000000003</c:v>
                </c:pt>
                <c:pt idx="15">
                  <c:v>1.55</c:v>
                </c:pt>
                <c:pt idx="16">
                  <c:v>1.575</c:v>
                </c:pt>
                <c:pt idx="17">
                  <c:v>1.7749999999999999</c:v>
                </c:pt>
                <c:pt idx="18">
                  <c:v>1.2000000000000002</c:v>
                </c:pt>
                <c:pt idx="19">
                  <c:v>1.3250000000000002</c:v>
                </c:pt>
                <c:pt idx="20">
                  <c:v>1.3250000000000002</c:v>
                </c:pt>
                <c:pt idx="21">
                  <c:v>2.5</c:v>
                </c:pt>
                <c:pt idx="22">
                  <c:v>3</c:v>
                </c:pt>
                <c:pt idx="23">
                  <c:v>3.3</c:v>
                </c:pt>
                <c:pt idx="24">
                  <c:v>3</c:v>
                </c:pt>
                <c:pt idx="25">
                  <c:v>5</c:v>
                </c:pt>
                <c:pt idx="26">
                  <c:v>3</c:v>
                </c:pt>
              </c:numCache>
            </c:numRef>
          </c:val>
          <c:smooth val="0"/>
          <c:extLst>
            <c:ext xmlns:c16="http://schemas.microsoft.com/office/drawing/2014/chart" uri="{C3380CC4-5D6E-409C-BE32-E72D297353CC}">
              <c16:uniqueId val="{00000000-3423-0045-836D-3A9AF54A25B3}"/>
            </c:ext>
          </c:extLst>
        </c:ser>
        <c:dLbls>
          <c:showLegendKey val="0"/>
          <c:showVal val="0"/>
          <c:showCatName val="0"/>
          <c:showSerName val="0"/>
          <c:showPercent val="0"/>
          <c:showBubbleSize val="0"/>
        </c:dLbls>
        <c:smooth val="0"/>
        <c:axId val="175865775"/>
        <c:axId val="329834095"/>
      </c:lineChart>
      <c:catAx>
        <c:axId val="17586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9834095"/>
        <c:crosses val="autoZero"/>
        <c:auto val="1"/>
        <c:lblAlgn val="ctr"/>
        <c:lblOffset val="100"/>
        <c:noMultiLvlLbl val="0"/>
      </c:catAx>
      <c:valAx>
        <c:axId val="329834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a:t>
                </a:r>
                <a:r>
                  <a:rPr lang="fr-CA" baseline="0"/>
                  <a:t>  public debt or deficits is the most important issue</a:t>
                </a:r>
                <a:endParaRPr lang="fr-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586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chemeClr val="tx1"/>
              </a:solidFill>
              <a:prstDash val="sysDot"/>
              <a:round/>
            </a:ln>
            <a:effectLst/>
          </c:spPr>
          <c:marker>
            <c:symbol val="none"/>
          </c:marker>
          <c:cat>
            <c:numRef>
              <c:f>Approval!$N$2:$N$23</c:f>
              <c:numCache>
                <c:formatCode>General</c:formatCode>
                <c:ptCount val="22"/>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2003</c:v>
                </c:pt>
                <c:pt idx="16">
                  <c:v>2004</c:v>
                </c:pt>
                <c:pt idx="17">
                  <c:v>2005</c:v>
                </c:pt>
                <c:pt idx="18">
                  <c:v>2006</c:v>
                </c:pt>
                <c:pt idx="19">
                  <c:v>2007</c:v>
                </c:pt>
                <c:pt idx="20">
                  <c:v>2008</c:v>
                </c:pt>
                <c:pt idx="21">
                  <c:v>2009</c:v>
                </c:pt>
              </c:numCache>
            </c:numRef>
          </c:cat>
          <c:val>
            <c:numRef>
              <c:f>Approval!$O$2:$O$12</c:f>
              <c:numCache>
                <c:formatCode>General</c:formatCode>
                <c:ptCount val="11"/>
                <c:pt idx="0">
                  <c:v>51.6</c:v>
                </c:pt>
                <c:pt idx="1">
                  <c:v>53.2</c:v>
                </c:pt>
                <c:pt idx="2">
                  <c:v>60.7</c:v>
                </c:pt>
                <c:pt idx="3">
                  <c:v>63.8</c:v>
                </c:pt>
                <c:pt idx="4">
                  <c:v>65.900000000000006</c:v>
                </c:pt>
                <c:pt idx="5">
                  <c:v>67.3</c:v>
                </c:pt>
                <c:pt idx="6">
                  <c:v>73.7</c:v>
                </c:pt>
                <c:pt idx="7">
                  <c:v>73.7</c:v>
                </c:pt>
                <c:pt idx="8">
                  <c:v>69.5</c:v>
                </c:pt>
                <c:pt idx="9">
                  <c:v>59</c:v>
                </c:pt>
                <c:pt idx="10">
                  <c:v>56.5</c:v>
                </c:pt>
              </c:numCache>
            </c:numRef>
          </c:val>
          <c:smooth val="0"/>
          <c:extLst>
            <c:ext xmlns:c16="http://schemas.microsoft.com/office/drawing/2014/chart" uri="{C3380CC4-5D6E-409C-BE32-E72D297353CC}">
              <c16:uniqueId val="{00000000-B98B-CC40-B0DF-2A3F2A2049A5}"/>
            </c:ext>
          </c:extLst>
        </c:ser>
        <c:ser>
          <c:idx val="2"/>
          <c:order val="1"/>
          <c:spPr>
            <a:ln w="28575" cap="rnd">
              <a:solidFill>
                <a:schemeClr val="tx1"/>
              </a:solidFill>
              <a:round/>
            </a:ln>
            <a:effectLst/>
          </c:spPr>
          <c:marker>
            <c:symbol val="none"/>
          </c:marker>
          <c:cat>
            <c:numRef>
              <c:f>Approval!$N$2:$N$23</c:f>
              <c:numCache>
                <c:formatCode>General</c:formatCode>
                <c:ptCount val="22"/>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2003</c:v>
                </c:pt>
                <c:pt idx="16">
                  <c:v>2004</c:v>
                </c:pt>
                <c:pt idx="17">
                  <c:v>2005</c:v>
                </c:pt>
                <c:pt idx="18">
                  <c:v>2006</c:v>
                </c:pt>
                <c:pt idx="19">
                  <c:v>2007</c:v>
                </c:pt>
                <c:pt idx="20">
                  <c:v>2008</c:v>
                </c:pt>
                <c:pt idx="21">
                  <c:v>2009</c:v>
                </c:pt>
              </c:numCache>
            </c:numRef>
          </c:cat>
          <c:val>
            <c:numRef>
              <c:f>Approval!$P$2:$P$23</c:f>
              <c:numCache>
                <c:formatCode>General</c:formatCode>
                <c:ptCount val="22"/>
                <c:pt idx="2">
                  <c:v>26.532887402452619</c:v>
                </c:pt>
                <c:pt idx="3">
                  <c:v>16.149737135295151</c:v>
                </c:pt>
                <c:pt idx="4">
                  <c:v>12.385452097408541</c:v>
                </c:pt>
                <c:pt idx="5">
                  <c:v>12.385452097408541</c:v>
                </c:pt>
                <c:pt idx="6">
                  <c:v>13.818955284654718</c:v>
                </c:pt>
                <c:pt idx="7">
                  <c:v>20.918216086277241</c:v>
                </c:pt>
                <c:pt idx="8">
                  <c:v>23.761401685153281</c:v>
                </c:pt>
                <c:pt idx="9">
                  <c:v>35.381790368028547</c:v>
                </c:pt>
                <c:pt idx="10">
                  <c:v>50.227772775983645</c:v>
                </c:pt>
                <c:pt idx="11">
                  <c:v>59.207431847273334</c:v>
                </c:pt>
                <c:pt idx="12">
                  <c:v>57.495122618828141</c:v>
                </c:pt>
                <c:pt idx="13">
                  <c:v>56.897123090153784</c:v>
                </c:pt>
                <c:pt idx="14">
                  <c:v>59.503709042335458</c:v>
                </c:pt>
                <c:pt idx="15">
                  <c:v>57.883902983276471</c:v>
                </c:pt>
                <c:pt idx="16">
                  <c:v>56.325353044003009</c:v>
                </c:pt>
                <c:pt idx="17">
                  <c:v>55.072607260726073</c:v>
                </c:pt>
                <c:pt idx="18">
                  <c:v>57.063086584878569</c:v>
                </c:pt>
                <c:pt idx="19">
                  <c:v>60.236118911599469</c:v>
                </c:pt>
                <c:pt idx="20">
                  <c:v>53.592233201216651</c:v>
                </c:pt>
                <c:pt idx="21">
                  <c:v>38.274336283185839</c:v>
                </c:pt>
              </c:numCache>
            </c:numRef>
          </c:val>
          <c:smooth val="0"/>
          <c:extLst>
            <c:ext xmlns:c16="http://schemas.microsoft.com/office/drawing/2014/chart" uri="{C3380CC4-5D6E-409C-BE32-E72D297353CC}">
              <c16:uniqueId val="{00000001-B98B-CC40-B0DF-2A3F2A2049A5}"/>
            </c:ext>
          </c:extLst>
        </c:ser>
        <c:dLbls>
          <c:showLegendKey val="0"/>
          <c:showVal val="0"/>
          <c:showCatName val="0"/>
          <c:showSerName val="0"/>
          <c:showPercent val="0"/>
          <c:showBubbleSize val="0"/>
        </c:dLbls>
        <c:smooth val="0"/>
        <c:axId val="867760912"/>
        <c:axId val="867762560"/>
      </c:lineChart>
      <c:catAx>
        <c:axId val="86776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67762560"/>
        <c:crosses val="autoZero"/>
        <c:auto val="1"/>
        <c:lblAlgn val="ctr"/>
        <c:lblOffset val="100"/>
        <c:noMultiLvlLbl val="0"/>
      </c:catAx>
      <c:valAx>
        <c:axId val="86776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67760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F75A-7C2F-BA41-9F0E-46141916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5921</Words>
  <Characters>32569</Characters>
  <Application>Microsoft Office Word</Application>
  <DocSecurity>0</DocSecurity>
  <Lines>271</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Jacques</dc:creator>
  <cp:keywords/>
  <dc:description/>
  <cp:lastModifiedBy>Olivier Jacques</cp:lastModifiedBy>
  <cp:revision>4</cp:revision>
  <dcterms:created xsi:type="dcterms:W3CDTF">2021-11-29T16:44:00Z</dcterms:created>
  <dcterms:modified xsi:type="dcterms:W3CDTF">2021-11-29T17:01:00Z</dcterms:modified>
</cp:coreProperties>
</file>